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E" w:rsidRPr="0057478E" w:rsidRDefault="00A35107" w:rsidP="0057478E">
      <w:pPr>
        <w:pStyle w:val="30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 w:rsidR="00711B1A">
        <w:rPr>
          <w:sz w:val="24"/>
          <w:szCs w:val="24"/>
        </w:rPr>
        <w:t>5</w:t>
      </w:r>
    </w:p>
    <w:p w:rsidR="0057478E" w:rsidRPr="0057478E" w:rsidRDefault="0057478E" w:rsidP="0057478E">
      <w:pPr>
        <w:pStyle w:val="30"/>
        <w:shd w:val="clear" w:color="auto" w:fill="auto"/>
        <w:jc w:val="right"/>
        <w:rPr>
          <w:sz w:val="24"/>
          <w:szCs w:val="24"/>
        </w:rPr>
      </w:pPr>
      <w:r w:rsidRPr="0057478E">
        <w:rPr>
          <w:sz w:val="24"/>
          <w:szCs w:val="24"/>
        </w:rPr>
        <w:t>к Соглашению на 201</w:t>
      </w:r>
      <w:r w:rsidR="00900C0B">
        <w:rPr>
          <w:sz w:val="24"/>
          <w:szCs w:val="24"/>
        </w:rPr>
        <w:t>8</w:t>
      </w:r>
      <w:r w:rsidRPr="0057478E">
        <w:rPr>
          <w:sz w:val="24"/>
          <w:szCs w:val="24"/>
        </w:rPr>
        <w:t xml:space="preserve"> год</w:t>
      </w:r>
    </w:p>
    <w:p w:rsidR="0057478E" w:rsidRDefault="0057478E" w:rsidP="0057478E">
      <w:pPr>
        <w:pStyle w:val="30"/>
        <w:shd w:val="clear" w:color="auto" w:fill="auto"/>
        <w:jc w:val="right"/>
        <w:rPr>
          <w:sz w:val="28"/>
          <w:szCs w:val="28"/>
        </w:rPr>
      </w:pPr>
    </w:p>
    <w:p w:rsidR="0057478E" w:rsidRPr="0057478E" w:rsidRDefault="0057478E" w:rsidP="0059184F">
      <w:pPr>
        <w:pStyle w:val="30"/>
        <w:shd w:val="clear" w:color="auto" w:fill="auto"/>
        <w:jc w:val="center"/>
        <w:rPr>
          <w:sz w:val="28"/>
          <w:szCs w:val="28"/>
        </w:rPr>
      </w:pPr>
    </w:p>
    <w:p w:rsidR="0059184F" w:rsidRPr="0057478E" w:rsidRDefault="003A6931" w:rsidP="0059184F">
      <w:pPr>
        <w:pStyle w:val="30"/>
        <w:shd w:val="clear" w:color="auto" w:fill="auto"/>
        <w:jc w:val="center"/>
        <w:rPr>
          <w:sz w:val="28"/>
          <w:szCs w:val="28"/>
        </w:rPr>
      </w:pPr>
      <w:r w:rsidRPr="0057478E">
        <w:rPr>
          <w:sz w:val="28"/>
          <w:szCs w:val="28"/>
        </w:rPr>
        <w:t xml:space="preserve">Порядок </w:t>
      </w:r>
    </w:p>
    <w:p w:rsidR="00A020BB" w:rsidRDefault="003A6931" w:rsidP="0059184F">
      <w:pPr>
        <w:pStyle w:val="30"/>
        <w:shd w:val="clear" w:color="auto" w:fill="auto"/>
        <w:jc w:val="center"/>
        <w:rPr>
          <w:sz w:val="28"/>
          <w:szCs w:val="28"/>
        </w:rPr>
      </w:pPr>
      <w:r w:rsidRPr="0057478E">
        <w:rPr>
          <w:sz w:val="28"/>
          <w:szCs w:val="28"/>
        </w:rPr>
        <w:t xml:space="preserve">определения размера дифференцированного </w:t>
      </w:r>
      <w:proofErr w:type="spellStart"/>
      <w:r w:rsidRPr="0057478E">
        <w:rPr>
          <w:sz w:val="28"/>
          <w:szCs w:val="28"/>
        </w:rPr>
        <w:t>подушевого</w:t>
      </w:r>
      <w:proofErr w:type="spellEnd"/>
      <w:r w:rsidRPr="0057478E">
        <w:rPr>
          <w:sz w:val="28"/>
          <w:szCs w:val="28"/>
        </w:rPr>
        <w:t xml:space="preserve"> норматива финансирования </w:t>
      </w:r>
      <w:r w:rsidR="00A020BB">
        <w:rPr>
          <w:sz w:val="28"/>
          <w:szCs w:val="28"/>
        </w:rPr>
        <w:t>о</w:t>
      </w:r>
      <w:r w:rsidRPr="0057478E">
        <w:rPr>
          <w:sz w:val="28"/>
          <w:szCs w:val="28"/>
        </w:rPr>
        <w:t xml:space="preserve">платы медицинской помощи, оказанной </w:t>
      </w:r>
    </w:p>
    <w:p w:rsidR="0059184F" w:rsidRDefault="00A020BB" w:rsidP="0059184F">
      <w:pPr>
        <w:pStyle w:val="30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6931" w:rsidRPr="0057478E">
        <w:rPr>
          <w:sz w:val="28"/>
          <w:szCs w:val="28"/>
        </w:rPr>
        <w:t>амбулаторн</w:t>
      </w:r>
      <w:r>
        <w:rPr>
          <w:sz w:val="28"/>
          <w:szCs w:val="28"/>
        </w:rPr>
        <w:t>ых условиях</w:t>
      </w:r>
    </w:p>
    <w:p w:rsidR="00CC338E" w:rsidRDefault="00CC338E" w:rsidP="0059184F">
      <w:pPr>
        <w:pStyle w:val="30"/>
        <w:shd w:val="clear" w:color="auto" w:fill="auto"/>
        <w:jc w:val="center"/>
        <w:rPr>
          <w:sz w:val="28"/>
          <w:szCs w:val="28"/>
        </w:rPr>
      </w:pPr>
    </w:p>
    <w:p w:rsidR="00DB25F1" w:rsidRPr="008772AB" w:rsidRDefault="00DB25F1" w:rsidP="0059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AB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8772AB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8772AB">
        <w:rPr>
          <w:rFonts w:ascii="Times New Roman" w:hAnsi="Times New Roman" w:cs="Times New Roman"/>
          <w:sz w:val="28"/>
          <w:szCs w:val="28"/>
        </w:rPr>
        <w:t xml:space="preserve"> норматива финансирования для </w:t>
      </w:r>
      <w:proofErr w:type="gramStart"/>
      <w:r w:rsidRPr="008772AB">
        <w:rPr>
          <w:rFonts w:ascii="Times New Roman" w:hAnsi="Times New Roman" w:cs="Times New Roman"/>
          <w:sz w:val="28"/>
          <w:szCs w:val="28"/>
        </w:rPr>
        <w:t xml:space="preserve">оплаты медицинской помощи, оказанной </w:t>
      </w:r>
      <w:r w:rsidR="00A020BB">
        <w:rPr>
          <w:rFonts w:ascii="Times New Roman" w:hAnsi="Times New Roman" w:cs="Times New Roman"/>
          <w:sz w:val="28"/>
          <w:szCs w:val="28"/>
        </w:rPr>
        <w:t xml:space="preserve">в </w:t>
      </w:r>
      <w:r w:rsidRPr="008772AB">
        <w:rPr>
          <w:rFonts w:ascii="Times New Roman" w:hAnsi="Times New Roman" w:cs="Times New Roman"/>
          <w:sz w:val="28"/>
          <w:szCs w:val="28"/>
        </w:rPr>
        <w:t>амбулаторн</w:t>
      </w:r>
      <w:r w:rsidR="00A020BB">
        <w:rPr>
          <w:rFonts w:ascii="Times New Roman" w:hAnsi="Times New Roman" w:cs="Times New Roman"/>
          <w:sz w:val="28"/>
          <w:szCs w:val="28"/>
        </w:rPr>
        <w:t>ых условиях</w:t>
      </w:r>
      <w:r w:rsidRPr="008772A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8772AB">
        <w:rPr>
          <w:rFonts w:ascii="Times New Roman" w:hAnsi="Times New Roman" w:cs="Times New Roman"/>
          <w:sz w:val="28"/>
          <w:szCs w:val="28"/>
        </w:rPr>
        <w:t xml:space="preserve"> Территориальным фондом ОМС Республики Калмыкия по состоянию на 1 января текущего финансового года (или по мере необходимости на 1 число месяца). </w:t>
      </w:r>
    </w:p>
    <w:p w:rsidR="00DB25F1" w:rsidRPr="0057478E" w:rsidRDefault="00DB25F1" w:rsidP="0057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8E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57478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57478E">
        <w:rPr>
          <w:rFonts w:ascii="Times New Roman" w:hAnsi="Times New Roman" w:cs="Times New Roman"/>
          <w:sz w:val="28"/>
          <w:szCs w:val="28"/>
        </w:rPr>
        <w:t xml:space="preserve"> норматива финансирования осуществляется исходя</w:t>
      </w:r>
      <w:r w:rsidR="0059184F" w:rsidRPr="0057478E">
        <w:rPr>
          <w:rFonts w:ascii="Times New Roman" w:hAnsi="Times New Roman" w:cs="Times New Roman"/>
          <w:sz w:val="28"/>
          <w:szCs w:val="28"/>
        </w:rPr>
        <w:t xml:space="preserve"> </w:t>
      </w:r>
      <w:r w:rsidR="006453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478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478E">
        <w:rPr>
          <w:rFonts w:ascii="Times New Roman" w:hAnsi="Times New Roman" w:cs="Times New Roman"/>
          <w:sz w:val="28"/>
          <w:szCs w:val="28"/>
        </w:rPr>
        <w:t>:</w:t>
      </w:r>
    </w:p>
    <w:p w:rsidR="00DB25F1" w:rsidRDefault="00DB25F1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  <w:r w:rsidRPr="0059184F">
        <w:rPr>
          <w:sz w:val="28"/>
          <w:szCs w:val="28"/>
        </w:rPr>
        <w:t>- численности застрахованных лиц состоянию на 1 января текущего финансового года (или по мере необходимости на 1 число месяца), за который страховыми медицинскими организациями будет осуществляться оплата медицинской помощи распределенных на следующие половозрастные группы (далее - половозрастные группы):</w:t>
      </w:r>
    </w:p>
    <w:p w:rsidR="0059184F" w:rsidRPr="0059184F" w:rsidRDefault="0059184F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8D08F8" w:rsidRDefault="008D08F8" w:rsidP="0059184F">
      <w:pPr>
        <w:pStyle w:val="ConsPlusNormal"/>
        <w:ind w:firstLine="540"/>
        <w:jc w:val="both"/>
      </w:pPr>
      <w:r>
        <w:t>ноль - один год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один год - четыре года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пять лет - семнадцать лет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восемнадцать лет - пятьдесят девять лет мужчины;</w:t>
      </w:r>
    </w:p>
    <w:p w:rsidR="008D08F8" w:rsidRDefault="008D08F8" w:rsidP="0059184F">
      <w:pPr>
        <w:pStyle w:val="ConsPlusNormal"/>
        <w:ind w:firstLine="540"/>
        <w:jc w:val="both"/>
      </w:pPr>
      <w:r>
        <w:t>восемнадцать лет - пятьдесят четыре года 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шестьдесят лет и старше мужчины;</w:t>
      </w:r>
    </w:p>
    <w:p w:rsidR="008D08F8" w:rsidRDefault="008D08F8" w:rsidP="0059184F">
      <w:pPr>
        <w:pStyle w:val="ConsPlusNormal"/>
        <w:ind w:firstLine="540"/>
        <w:jc w:val="both"/>
      </w:pPr>
      <w:r>
        <w:t>пятьдесят пять лет и старше женщины.</w:t>
      </w:r>
    </w:p>
    <w:p w:rsidR="00934568" w:rsidRDefault="00934568" w:rsidP="0059184F">
      <w:pPr>
        <w:pStyle w:val="ConsPlusNormal"/>
        <w:ind w:firstLine="540"/>
        <w:jc w:val="both"/>
      </w:pPr>
    </w:p>
    <w:p w:rsidR="00934568" w:rsidRPr="0059184F" w:rsidRDefault="00934568" w:rsidP="0059184F">
      <w:pPr>
        <w:pStyle w:val="ConsPlusNormal"/>
        <w:ind w:firstLine="540"/>
        <w:jc w:val="both"/>
        <w:rPr>
          <w:sz w:val="28"/>
          <w:szCs w:val="28"/>
        </w:rPr>
      </w:pPr>
      <w:r w:rsidRPr="0059184F">
        <w:rPr>
          <w:sz w:val="28"/>
          <w:szCs w:val="28"/>
        </w:rPr>
        <w:t xml:space="preserve">- объема финансовых средств, предусмотренных на формирование </w:t>
      </w:r>
      <w:proofErr w:type="spellStart"/>
      <w:r w:rsidRPr="0059184F">
        <w:rPr>
          <w:sz w:val="28"/>
          <w:szCs w:val="28"/>
        </w:rPr>
        <w:t>подушевого</w:t>
      </w:r>
      <w:proofErr w:type="spellEnd"/>
      <w:r w:rsidRPr="0059184F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59184F">
        <w:rPr>
          <w:sz w:val="28"/>
          <w:szCs w:val="28"/>
        </w:rPr>
        <w:t>подушевого</w:t>
      </w:r>
      <w:proofErr w:type="spellEnd"/>
      <w:r w:rsidRPr="0059184F">
        <w:rPr>
          <w:sz w:val="28"/>
          <w:szCs w:val="28"/>
        </w:rPr>
        <w:t xml:space="preserve"> норматива финансирования)</w:t>
      </w:r>
    </w:p>
    <w:p w:rsidR="00934568" w:rsidRDefault="00934568" w:rsidP="0059184F">
      <w:pPr>
        <w:pStyle w:val="ConsPlusNormal"/>
        <w:ind w:firstLine="540"/>
        <w:jc w:val="both"/>
      </w:pPr>
    </w:p>
    <w:p w:rsidR="00934568" w:rsidRPr="00CD4E18" w:rsidRDefault="00934568" w:rsidP="0059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E18">
        <w:rPr>
          <w:rFonts w:ascii="Times New Roman" w:hAnsi="Times New Roman"/>
          <w:sz w:val="28"/>
          <w:szCs w:val="28"/>
        </w:rPr>
        <w:t xml:space="preserve">В соответствии с подпунктом 1 пункта 12.3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структуре и содержанию тарифного соглашения, установленных приказом Федерального фонда обязательного медицинского страхования от 18 ноября 2014 года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br/>
        <w:t xml:space="preserve">№ 200 (далее – Требования), </w:t>
      </w:r>
      <w:r w:rsidRPr="00CD4E18">
        <w:rPr>
          <w:rFonts w:ascii="Times New Roman" w:hAnsi="Times New Roman"/>
          <w:sz w:val="28"/>
          <w:szCs w:val="28"/>
        </w:rPr>
        <w:t>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Pr="00CD4E18">
        <w:rPr>
          <w:rFonts w:ascii="Times New Roman" w:hAnsi="Times New Roman"/>
          <w:sz w:val="28"/>
          <w:szCs w:val="28"/>
        </w:rPr>
        <w:t xml:space="preserve"> средний размер финансового обеспечения медицинской помощи, оказанной в амбулаторных условиях</w:t>
      </w:r>
      <w:proofErr w:type="gramEnd"/>
      <w:r w:rsidRPr="00CD4E18">
        <w:rPr>
          <w:rFonts w:ascii="Times New Roman" w:hAnsi="Times New Roman"/>
          <w:sz w:val="28"/>
          <w:szCs w:val="28"/>
        </w:rPr>
        <w:t xml:space="preserve"> медицинскими организациями, участвующими в реализации территориальной программы обязател</w:t>
      </w:r>
      <w:r>
        <w:rPr>
          <w:rFonts w:ascii="Times New Roman" w:hAnsi="Times New Roman"/>
          <w:sz w:val="28"/>
          <w:szCs w:val="28"/>
        </w:rPr>
        <w:t>ьного медицинского страхования Республики Калмыкия</w:t>
      </w:r>
      <w:r w:rsidRPr="00CD4E18">
        <w:rPr>
          <w:rFonts w:ascii="Times New Roman" w:hAnsi="Times New Roman"/>
          <w:sz w:val="28"/>
          <w:szCs w:val="28"/>
        </w:rPr>
        <w:t>, в расчете на одно застрахованное лицо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</w:p>
    <w:p w:rsidR="00934568" w:rsidRPr="00CD4E18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4568" w:rsidRPr="00CD4E18" w:rsidRDefault="00277CF5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АМБ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934568" w:rsidRPr="00CD4E18">
        <w:rPr>
          <w:rFonts w:ascii="Times New Roman" w:hAnsi="Times New Roman" w:cs="Times New Roman"/>
          <w:sz w:val="28"/>
          <w:szCs w:val="24"/>
        </w:rPr>
        <w:t xml:space="preserve">, </w:t>
      </w:r>
      <w:r w:rsidR="00934568" w:rsidRPr="00CD4E18">
        <w:rPr>
          <w:rFonts w:ascii="Times New Roman" w:hAnsi="Times New Roman" w:cs="Times New Roman"/>
          <w:sz w:val="28"/>
          <w:szCs w:val="28"/>
        </w:rPr>
        <w:br/>
        <w:t>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АМБ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9345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18">
              <w:rPr>
                <w:rFonts w:ascii="Times New Roman" w:hAnsi="Times New Roman"/>
                <w:sz w:val="28"/>
                <w:szCs w:val="28"/>
              </w:rPr>
              <w:t>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Калмыкия</w:t>
            </w:r>
            <w:r w:rsidRPr="00CD4E18">
              <w:rPr>
                <w:rFonts w:ascii="Times New Roman" w:hAnsi="Times New Roman"/>
                <w:sz w:val="28"/>
                <w:szCs w:val="28"/>
              </w:rPr>
              <w:t>, в расчете на одно застрахованное лицо,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обращений;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 xml:space="preserve">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оказываемой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F1E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застрахованным лицам за пределами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которо</w:t>
            </w:r>
            <w:r w:rsidR="00CF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выдан полис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застрахованного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, человек.</w:t>
            </w:r>
          </w:p>
        </w:tc>
      </w:tr>
    </w:tbl>
    <w:p w:rsidR="00934568" w:rsidRPr="00CD4E18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4568" w:rsidRPr="00CD4E18" w:rsidRDefault="0059184F" w:rsidP="009345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 w:rsidR="00934568" w:rsidRPr="00CD4E18">
        <w:rPr>
          <w:rFonts w:ascii="Times New Roman" w:hAnsi="Times New Roman"/>
          <w:sz w:val="28"/>
          <w:szCs w:val="28"/>
        </w:rPr>
        <w:t xml:space="preserve">среднего размера финансового обеспечения медицинской помощи, оказываемой в амбулаторных условиях медицинскими организациями, участвующими в реализации территориальной программы обязательного медицинского страхования </w:t>
      </w:r>
      <w:r w:rsidR="00934568">
        <w:rPr>
          <w:rFonts w:ascii="Times New Roman" w:hAnsi="Times New Roman"/>
          <w:sz w:val="28"/>
          <w:szCs w:val="28"/>
        </w:rPr>
        <w:t>Республики Калмыкия</w:t>
      </w:r>
      <w:r w:rsidR="00934568" w:rsidRPr="00CD4E18">
        <w:rPr>
          <w:rFonts w:ascii="Times New Roman" w:hAnsi="Times New Roman"/>
          <w:sz w:val="28"/>
          <w:szCs w:val="28"/>
        </w:rPr>
        <w:t>, в расчете на одно застрахованное лицо определяется</w:t>
      </w:r>
      <w:proofErr w:type="gramEnd"/>
      <w:r w:rsidR="00934568" w:rsidRPr="00CD4E18">
        <w:rPr>
          <w:rFonts w:ascii="Times New Roman" w:hAnsi="Times New Roman"/>
          <w:sz w:val="28"/>
          <w:szCs w:val="28"/>
        </w:rPr>
        <w:t xml:space="preserve"> б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азовый (средний)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медицинской помощи, оказываемой в амбулаторных условиях, по следующей формуле:</w:t>
      </w:r>
    </w:p>
    <w:p w:rsidR="00934568" w:rsidRPr="00CD4E18" w:rsidRDefault="00277CF5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БАЗ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АМБ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×Чз-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ЕО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Чз</m:t>
            </m:r>
          </m:den>
        </m:f>
      </m:oMath>
      <w:r w:rsidR="00934568" w:rsidRPr="00CD4E18">
        <w:rPr>
          <w:rFonts w:ascii="Times New Roman" w:hAnsi="Times New Roman" w:cs="Times New Roman"/>
          <w:sz w:val="28"/>
          <w:szCs w:val="24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934568" w:rsidRPr="00CD4E18" w:rsidTr="00A020BB">
        <w:tc>
          <w:tcPr>
            <w:tcW w:w="1360" w:type="dxa"/>
            <w:vAlign w:val="center"/>
          </w:tcPr>
          <w:p w:rsidR="00934568" w:rsidRPr="00CD4E1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(средний)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финансирования, рублей;</w:t>
            </w:r>
          </w:p>
        </w:tc>
      </w:tr>
      <w:tr w:rsidR="00934568" w:rsidRPr="00CD4E18" w:rsidTr="00A020BB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568" w:rsidRPr="00CD4E18" w:rsidTr="00A020BB">
        <w:tc>
          <w:tcPr>
            <w:tcW w:w="1360" w:type="dxa"/>
            <w:vAlign w:val="center"/>
          </w:tcPr>
          <w:p w:rsidR="00934568" w:rsidRPr="00934568" w:rsidRDefault="00277CF5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ЕО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93456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934568" w:rsidRDefault="00934568" w:rsidP="00CC131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медицинской помощи, оказываемой в амбулаторных условиях за единицу объема медицинской помощи, </w:t>
            </w:r>
            <w:proofErr w:type="gramStart"/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>застрахованным</w:t>
            </w:r>
            <w:proofErr w:type="gramEnd"/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</w:t>
            </w:r>
            <w:r w:rsidRPr="00934568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93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934568" w:rsidRPr="00CD4E18" w:rsidRDefault="00934568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4568" w:rsidRPr="00CD4E18" w:rsidRDefault="00A020BB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на прикрепившихся лиц (далее –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 w:rsidR="00934568" w:rsidRPr="00030A88">
        <w:rPr>
          <w:rFonts w:ascii="Times New Roman" w:eastAsia="Times New Roman" w:hAnsi="Times New Roman" w:cs="Times New Roman"/>
          <w:sz w:val="28"/>
          <w:szCs w:val="28"/>
        </w:rPr>
        <w:t>) не включаются:</w:t>
      </w:r>
    </w:p>
    <w:p w:rsidR="00934568" w:rsidRPr="00CD4E18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– расходы на финансовое обеспечение мероприятий по проведению всех видов диспансеризации и профилактических осмотров отдельных категорий граждан, </w:t>
      </w:r>
      <w:proofErr w:type="gramStart"/>
      <w:r w:rsidRPr="00CD4E18">
        <w:rPr>
          <w:rFonts w:ascii="Times New Roman" w:eastAsia="Times New Roman" w:hAnsi="Times New Roman" w:cs="Times New Roman"/>
          <w:sz w:val="28"/>
          <w:szCs w:val="28"/>
        </w:rPr>
        <w:t>порядки</w:t>
      </w:r>
      <w:proofErr w:type="gram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которых установлены нормативно-правовыми актами;</w:t>
      </w:r>
    </w:p>
    <w:p w:rsidR="00934568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 расходы на оплату диализа в амбулаторных условиях;</w:t>
      </w:r>
    </w:p>
    <w:p w:rsidR="001201EE" w:rsidRDefault="005F71E6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1EE" w:rsidRPr="001201EE">
        <w:rPr>
          <w:rFonts w:ascii="Times New Roman" w:eastAsia="Times New Roman" w:hAnsi="Times New Roman" w:cs="Times New Roman"/>
          <w:sz w:val="28"/>
          <w:szCs w:val="28"/>
        </w:rPr>
        <w:t>расходы на оплату стоматологической медицинской помощи, оказанной в амбулаторных условиях</w:t>
      </w:r>
      <w:r w:rsidR="001201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6AE" w:rsidRPr="00CD4E18" w:rsidRDefault="00D036AE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расходы по оплате комплексных услуг в центрах «Здоровь</w:t>
      </w:r>
      <w:r w:rsidR="00E9761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536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568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– расходы на медицинскую помощь, оказываемую в неотложной </w:t>
      </w:r>
      <w:r w:rsidR="00030A88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030A88" w:rsidRDefault="00030A8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</w:t>
      </w:r>
      <w:r w:rsidRPr="00030A88">
        <w:rPr>
          <w:rFonts w:ascii="Times New Roman" w:eastAsia="Times New Roman" w:hAnsi="Times New Roman" w:cs="Times New Roman"/>
          <w:sz w:val="28"/>
          <w:szCs w:val="28"/>
        </w:rPr>
        <w:t>а оплату услуг магнитно-резонансной томографии и компьютерной томографии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3D48" w:rsidRPr="00A2328D" w:rsidRDefault="004B116C" w:rsidP="00243D48">
      <w:pPr>
        <w:ind w:firstLine="709"/>
        <w:jc w:val="both"/>
        <w:rPr>
          <w:rFonts w:eastAsia="Times New Roman" w:cs="Times New Roman"/>
          <w:sz w:val="20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На основе базового (среднего)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медицинской помощи, оказываемой в амбулаторных условиях, с учетом объективных </w:t>
      </w:r>
      <w:proofErr w:type="gramStart"/>
      <w:r w:rsidRPr="00CD4E18">
        <w:rPr>
          <w:rFonts w:ascii="Times New Roman" w:eastAsia="Times New Roman" w:hAnsi="Times New Roman" w:cs="Times New Roman"/>
          <w:sz w:val="28"/>
          <w:szCs w:val="28"/>
        </w:rPr>
        <w:t>критериев дифференциации стоимости оказания медицинской помощи</w:t>
      </w:r>
      <w:proofErr w:type="gram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Республики Калмыкия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дифференцированный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 </w:t>
      </w:r>
      <w:r w:rsidR="00243D48">
        <w:rPr>
          <w:rFonts w:ascii="Times New Roman" w:eastAsia="Times New Roman" w:hAnsi="Times New Roman" w:cs="Times New Roman"/>
          <w:sz w:val="28"/>
          <w:szCs w:val="28"/>
        </w:rPr>
        <w:t xml:space="preserve">однородных групп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 по следующей формуле:</w:t>
      </w:r>
    </w:p>
    <w:p w:rsidR="00243D48" w:rsidRPr="003432B9" w:rsidRDefault="00277CF5" w:rsidP="003432B9">
      <w:pPr>
        <w:spacing w:line="1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243D48" w:rsidRPr="003432B9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4"/>
        <w:gridCol w:w="525"/>
        <w:gridCol w:w="7842"/>
      </w:tblGrid>
      <w:tr w:rsidR="003432B9" w:rsidRPr="003432B9" w:rsidTr="00E124C2">
        <w:tc>
          <w:tcPr>
            <w:tcW w:w="1204" w:type="dxa"/>
            <w:vAlign w:val="center"/>
          </w:tcPr>
          <w:p w:rsidR="003432B9" w:rsidRPr="003432B9" w:rsidRDefault="00277CF5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525" w:type="dxa"/>
            <w:vAlign w:val="center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42" w:type="dxa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для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группы (подгруппы) медицинских организаций, рублей;</w:t>
            </w:r>
          </w:p>
        </w:tc>
      </w:tr>
      <w:tr w:rsidR="003432B9" w:rsidRPr="003432B9" w:rsidTr="00E124C2">
        <w:tc>
          <w:tcPr>
            <w:tcW w:w="1204" w:type="dxa"/>
            <w:vAlign w:val="center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vAlign w:val="center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2" w:type="dxa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2B9" w:rsidRPr="003432B9" w:rsidTr="00E124C2">
        <w:tc>
          <w:tcPr>
            <w:tcW w:w="1204" w:type="dxa"/>
            <w:vAlign w:val="center"/>
          </w:tcPr>
          <w:p w:rsidR="003432B9" w:rsidRPr="003432B9" w:rsidRDefault="00277CF5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ИНТ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525" w:type="dxa"/>
            <w:vAlign w:val="center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42" w:type="dxa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средневзвешенный интегрированный коэффициент дифференциации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норматива, определенный </w:t>
            </w: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группы (подгруппы) медицинских организаций.</w:t>
            </w:r>
          </w:p>
        </w:tc>
      </w:tr>
    </w:tbl>
    <w:p w:rsidR="003432B9" w:rsidRDefault="003432B9" w:rsidP="003432B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2B9" w:rsidRPr="003432B9" w:rsidRDefault="003432B9" w:rsidP="003432B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2B9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медицинских организаций в однородные группы (подгруппы) осуществляется исходя из значений интегрированного коэффициента дифференциации </w:t>
      </w:r>
      <w:proofErr w:type="spellStart"/>
      <w:r w:rsidRPr="003432B9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3432B9">
        <w:rPr>
          <w:rFonts w:ascii="Times New Roman" w:eastAsia="Times New Roman" w:hAnsi="Times New Roman" w:cs="Times New Roman"/>
          <w:sz w:val="28"/>
          <w:szCs w:val="28"/>
        </w:rPr>
        <w:t xml:space="preserve"> норматива. Интегрированный коэффициент дифференциации </w:t>
      </w:r>
      <w:proofErr w:type="spellStart"/>
      <w:r w:rsidRPr="003432B9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3432B9">
        <w:rPr>
          <w:rFonts w:ascii="Times New Roman" w:eastAsia="Times New Roman" w:hAnsi="Times New Roman" w:cs="Times New Roman"/>
          <w:sz w:val="28"/>
          <w:szCs w:val="28"/>
        </w:rPr>
        <w:t xml:space="preserve"> норматива определяется по каждой медицинской организации по следующей формуле:</w:t>
      </w:r>
    </w:p>
    <w:p w:rsidR="00243D48" w:rsidRPr="003432B9" w:rsidRDefault="00277CF5" w:rsidP="003432B9">
      <w:pPr>
        <w:spacing w:line="1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ПВ</m:t>
            </m:r>
          </m:sub>
        </m:sSub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ЗП</m:t>
            </m:r>
          </m:sub>
        </m:sSub>
      </m:oMath>
      <w:r w:rsidR="00243D48" w:rsidRPr="003432B9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243D48" w:rsidRPr="003432B9" w:rsidTr="00F164A9">
        <w:tc>
          <w:tcPr>
            <w:tcW w:w="1360" w:type="dxa"/>
            <w:vAlign w:val="center"/>
          </w:tcPr>
          <w:p w:rsidR="00243D48" w:rsidRPr="003432B9" w:rsidRDefault="00277CF5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ИНТ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интегрированный коэффициент дифференциации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норматива, определенный для медицинской организации;</w:t>
            </w:r>
          </w:p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D48" w:rsidRPr="003432B9" w:rsidTr="00F164A9">
        <w:tc>
          <w:tcPr>
            <w:tcW w:w="1360" w:type="dxa"/>
            <w:vAlign w:val="center"/>
          </w:tcPr>
          <w:p w:rsidR="00243D48" w:rsidRPr="003432B9" w:rsidRDefault="00277CF5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ПВ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половозрастной коэффициент дифференциации </w:t>
            </w:r>
            <w:proofErr w:type="spellStart"/>
            <w:r w:rsidRPr="003432B9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3432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норматива</w:t>
            </w: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рассчитанный для соответствующей медицинской организации</w:t>
            </w:r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D48" w:rsidRPr="003432B9" w:rsidTr="00F164A9">
        <w:tc>
          <w:tcPr>
            <w:tcW w:w="1360" w:type="dxa"/>
            <w:vAlign w:val="center"/>
          </w:tcPr>
          <w:p w:rsidR="00243D48" w:rsidRPr="003432B9" w:rsidRDefault="00277CF5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коэффициент дифференциации, учитывающий достижение целевых показателей уровня заработной платы медицинских работников, установленных «дорожными картами» развития здравоохранения в Республике Калмыкия.</w:t>
            </w:r>
          </w:p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3D48" w:rsidRPr="00243D48" w:rsidRDefault="00243D48" w:rsidP="00343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дифференциации </w:t>
      </w:r>
      <w:proofErr w:type="spellStart"/>
      <w:r w:rsidRPr="00243D4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 норматива следует учитывать, что основным фактором дифференциации является половозрастной состав прикрепившегося населения, в соответствии с которым определяются половозрастные коэффициенты потребления медицинской помощи.</w:t>
      </w:r>
    </w:p>
    <w:p w:rsidR="00994652" w:rsidRDefault="008A3EBE" w:rsidP="0099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ля каждой половозрастной группы (подгруппы) рассчитываются единые значен</w:t>
      </w:r>
      <w:r>
        <w:rPr>
          <w:rFonts w:ascii="Times New Roman" w:eastAsia="Times New Roman" w:hAnsi="Times New Roman" w:cs="Times New Roman"/>
          <w:sz w:val="28"/>
          <w:szCs w:val="28"/>
        </w:rPr>
        <w:t>ия коэффициента дифференциации на основ</w:t>
      </w:r>
      <w:r w:rsidR="0099465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652" w:rsidRPr="00994652">
        <w:rPr>
          <w:rFonts w:ascii="Times New Roman" w:eastAsia="Times New Roman" w:hAnsi="Times New Roman" w:cs="Times New Roman"/>
          <w:sz w:val="28"/>
          <w:szCs w:val="28"/>
        </w:rPr>
        <w:t>данных о фактической стоимости оказанных медицинских услуг в</w:t>
      </w:r>
      <w:r w:rsidR="00994652">
        <w:rPr>
          <w:rFonts w:ascii="Times New Roman" w:eastAsia="Times New Roman" w:hAnsi="Times New Roman" w:cs="Times New Roman"/>
          <w:sz w:val="28"/>
          <w:szCs w:val="28"/>
        </w:rPr>
        <w:t xml:space="preserve"> Республике Калмыкия</w:t>
      </w:r>
      <w:r w:rsidR="00994652" w:rsidRPr="00994652">
        <w:rPr>
          <w:rFonts w:ascii="Times New Roman" w:eastAsia="Times New Roman" w:hAnsi="Times New Roman" w:cs="Times New Roman"/>
          <w:sz w:val="28"/>
          <w:szCs w:val="28"/>
        </w:rPr>
        <w:t xml:space="preserve">, включаемых в состав базового (среднего) </w:t>
      </w:r>
      <w:proofErr w:type="spellStart"/>
      <w:r w:rsidR="00994652" w:rsidRPr="0099465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="00994652" w:rsidRPr="00994652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финансирования. </w:t>
      </w:r>
    </w:p>
    <w:p w:rsidR="00243D48" w:rsidRPr="00243D48" w:rsidRDefault="00243D48" w:rsidP="0099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243D48">
        <w:rPr>
          <w:rFonts w:ascii="Times New Roman" w:eastAsia="Times New Roman" w:hAnsi="Times New Roman" w:cs="Times New Roman"/>
          <w:sz w:val="28"/>
          <w:szCs w:val="28"/>
        </w:rPr>
        <w:t>подушевым</w:t>
      </w:r>
      <w:proofErr w:type="spellEnd"/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 нормативам, к общему объему средств на финансирование медицинских организаций рассчитывается поправочный коэффициент (ПК) по формуле:</w:t>
      </w:r>
    </w:p>
    <w:p w:rsidR="00994652" w:rsidRDefault="00994652" w:rsidP="0034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D48" w:rsidRPr="00243D48" w:rsidRDefault="0039501A" w:rsidP="0034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ПК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on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ДПн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З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Пн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БАЗ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З</m:t>
                </m:r>
              </m:sub>
            </m:sSub>
          </m:den>
        </m:f>
      </m:oMath>
      <w:r w:rsidR="00243D48" w:rsidRPr="00243D48">
        <w:rPr>
          <w:rFonts w:ascii="Times New Roman" w:eastAsia="Times New Roman" w:hAnsi="Times New Roman" w:cs="Times New Roman"/>
          <w:szCs w:val="24"/>
        </w:rPr>
        <w:t>,</w:t>
      </w:r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243D48" w:rsidRPr="00243D48" w:rsidRDefault="00243D48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243D48" w:rsidRPr="00243D48" w:rsidRDefault="00243D48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243D48" w:rsidRPr="00243D48" w:rsidTr="00F164A9">
        <w:tc>
          <w:tcPr>
            <w:tcW w:w="1151" w:type="dxa"/>
            <w:vAlign w:val="center"/>
          </w:tcPr>
          <w:p w:rsidR="00243D48" w:rsidRPr="0039501A" w:rsidRDefault="00277CF5" w:rsidP="003432B9">
            <w:pPr>
              <w:ind w:right="-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527" w:type="dxa"/>
            <w:vAlign w:val="center"/>
          </w:tcPr>
          <w:p w:rsidR="00243D48" w:rsidRPr="00243D48" w:rsidRDefault="00243D48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243D48" w:rsidRPr="00243D48" w:rsidRDefault="00243D48" w:rsidP="003432B9">
            <w:pPr>
              <w:ind w:firstLine="2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3D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застрахованных лиц, прикрепленных к </w:t>
            </w:r>
            <w:proofErr w:type="spellStart"/>
            <w:r w:rsidRPr="00243D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243D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</w:t>
            </w:r>
            <w:r w:rsidRPr="00243D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группе (подгруппе) медицинских организаций, человек.</w:t>
            </w:r>
          </w:p>
          <w:p w:rsidR="00243D48" w:rsidRPr="00243D48" w:rsidRDefault="00243D48" w:rsidP="003432B9">
            <w:pPr>
              <w:ind w:firstLine="2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43D48" w:rsidRPr="00243D48" w:rsidRDefault="00A32023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дифференцированный </w:t>
      </w:r>
      <w:proofErr w:type="spellStart"/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 </w:t>
      </w:r>
      <w:proofErr w:type="spellStart"/>
      <w:r w:rsidR="00243D48" w:rsidRPr="00243D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243D48" w:rsidRPr="00243D4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той группы (подгруппы) медицинских организаций (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Ф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ДПн</m:t>
        </m:r>
      </m:oMath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243D48" w:rsidRPr="00243D48" w:rsidRDefault="00243D48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43D48" w:rsidRPr="00243D48" w:rsidRDefault="00277CF5" w:rsidP="0034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ДПн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ПК</m:t>
            </m:r>
          </m:den>
        </m:f>
      </m:oMath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243D48" w:rsidRPr="00243D48" w:rsidRDefault="00243D48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243D48" w:rsidRPr="00243D48" w:rsidTr="00F164A9">
        <w:tc>
          <w:tcPr>
            <w:tcW w:w="1151" w:type="dxa"/>
            <w:vAlign w:val="center"/>
          </w:tcPr>
          <w:p w:rsidR="00243D48" w:rsidRPr="00243D48" w:rsidRDefault="00277CF5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ФДПн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527" w:type="dxa"/>
            <w:vAlign w:val="center"/>
          </w:tcPr>
          <w:p w:rsidR="00243D48" w:rsidRPr="00243D48" w:rsidRDefault="00243D48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243D48" w:rsidRPr="00243D48" w:rsidRDefault="00243D48" w:rsidP="003432B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дифференцированный </w:t>
            </w:r>
            <w:proofErr w:type="spellStart"/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для </w:t>
            </w:r>
            <w:proofErr w:type="spellStart"/>
            <w:r w:rsidRPr="00243D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243D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</w:t>
            </w:r>
            <w:r w:rsidR="008A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(подгруппы) медицинских организаций, рублей</w:t>
            </w:r>
            <w:r w:rsidRPr="00243D4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8A149C" w:rsidRDefault="008A149C" w:rsidP="008A149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оплате медицинской помощи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нормативу финансирования на прикрепившихся лиц,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оказанную в иных медицинских </w:t>
      </w:r>
      <w:r w:rsidR="0068319B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(за единицу объема медицинской помощи)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составе средств, направляемых на финансовое обеспечение медицинской организации, имеющей прикрепившихся лиц,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нормативу, определяется доля 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направляемых на выплаты медицинскими организациями в случае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достижения целевых значений показателей результативности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49C" w:rsidRDefault="008A149C" w:rsidP="008A149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размер финансового обеспечения медицинской организации, имеющей прикрепившихся лиц,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нормативу определяется по следующей формуле:</w:t>
      </w:r>
    </w:p>
    <w:p w:rsidR="008A149C" w:rsidRDefault="008A149C" w:rsidP="008A149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ПВ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CC049B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×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ПР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±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8A149C" w:rsidRDefault="008A149C" w:rsidP="008A149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ПВ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финансовое обеспечение медицинской организации, имеющей прикрепившихся лиц,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нормативу, рублей;</w:t>
      </w:r>
    </w:p>
    <w:p w:rsidR="008A149C" w:rsidRDefault="008A149C" w:rsidP="008A149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ПР  </w:t>
      </w:r>
      <w:r>
        <w:rPr>
          <w:rFonts w:ascii="Times New Roman" w:eastAsia="Times New Roman" w:hAnsi="Times New Roman" w:cs="Times New Roman"/>
          <w:sz w:val="28"/>
          <w:szCs w:val="28"/>
        </w:rPr>
        <w:t>- численность застрахованных лиц, прикрепленных к данной медицинской организации, человек;</w:t>
      </w:r>
    </w:p>
    <w:p w:rsidR="008A149C" w:rsidRDefault="000D537D" w:rsidP="008A149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49C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4536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РД </w:t>
      </w:r>
      <w:r w:rsidR="00B453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149C">
        <w:rPr>
          <w:rFonts w:ascii="Times New Roman" w:eastAsia="Times New Roman" w:hAnsi="Times New Roman" w:cs="Times New Roman"/>
          <w:sz w:val="28"/>
          <w:szCs w:val="28"/>
        </w:rPr>
        <w:t>размер средств, направляемых на выплаты медицинским организация</w:t>
      </w:r>
      <w:r w:rsidR="0062178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149C">
        <w:rPr>
          <w:rFonts w:ascii="Times New Roman" w:eastAsia="Times New Roman" w:hAnsi="Times New Roman" w:cs="Times New Roman"/>
          <w:sz w:val="28"/>
          <w:szCs w:val="28"/>
        </w:rPr>
        <w:t xml:space="preserve"> в случае достижения целевых значений показателей результативности деятельности, рублей.</w:t>
      </w:r>
    </w:p>
    <w:p w:rsidR="008A149C" w:rsidRDefault="008A149C" w:rsidP="008A149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медицинских организаций, оказываемых медицинскую помощь в амбулаторных условиях, с целью осуществления выплат стимулирующего характера осуществляется ежемесячно, и при необходимости, по итогам квартала, полугодия, года по показателям, которым соответствует данный период оценки.</w:t>
      </w:r>
      <w:r w:rsidR="00BF0FC1">
        <w:rPr>
          <w:rFonts w:ascii="Times New Roman" w:eastAsia="Times New Roman" w:hAnsi="Times New Roman" w:cs="Times New Roman"/>
          <w:sz w:val="28"/>
          <w:szCs w:val="28"/>
        </w:rPr>
        <w:t xml:space="preserve"> Методика оценки показателей результативности </w:t>
      </w:r>
      <w:r w:rsidR="00BF0FC1" w:rsidRPr="00D45535">
        <w:rPr>
          <w:rFonts w:ascii="Times New Roman" w:hAnsi="Times New Roman" w:cs="Times New Roman"/>
          <w:sz w:val="28"/>
          <w:szCs w:val="28"/>
        </w:rPr>
        <w:t>деятельности медицинских организаций, оказывающих медицинскую помощь в амбулаторных условиях</w:t>
      </w:r>
      <w:r w:rsidR="00BF0FC1">
        <w:rPr>
          <w:rFonts w:ascii="Times New Roman" w:hAnsi="Times New Roman" w:cs="Times New Roman"/>
          <w:sz w:val="28"/>
          <w:szCs w:val="28"/>
        </w:rPr>
        <w:t xml:space="preserve"> и финансируемых по </w:t>
      </w:r>
      <w:proofErr w:type="spellStart"/>
      <w:r w:rsidR="00BF0FC1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="00BF0FC1">
        <w:rPr>
          <w:rFonts w:ascii="Times New Roman" w:hAnsi="Times New Roman" w:cs="Times New Roman"/>
          <w:sz w:val="28"/>
          <w:szCs w:val="28"/>
        </w:rPr>
        <w:t xml:space="preserve"> нормативу на обслуживаемое (прикрепившееся) застрахованное население установлена Приложением 1 к настоящему Порядку и является его неотъемлемой частью. </w:t>
      </w:r>
    </w:p>
    <w:sectPr w:rsidR="008A149C" w:rsidSect="0018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931"/>
    <w:rsid w:val="00030A88"/>
    <w:rsid w:val="000D537D"/>
    <w:rsid w:val="000D7F03"/>
    <w:rsid w:val="001201EE"/>
    <w:rsid w:val="00164953"/>
    <w:rsid w:val="001865E4"/>
    <w:rsid w:val="001A61EF"/>
    <w:rsid w:val="001E5D71"/>
    <w:rsid w:val="001F55DB"/>
    <w:rsid w:val="0020704B"/>
    <w:rsid w:val="00234BED"/>
    <w:rsid w:val="00243D48"/>
    <w:rsid w:val="00277CF5"/>
    <w:rsid w:val="003432B9"/>
    <w:rsid w:val="00391EBC"/>
    <w:rsid w:val="0039501A"/>
    <w:rsid w:val="003A6931"/>
    <w:rsid w:val="003E08EC"/>
    <w:rsid w:val="004254DE"/>
    <w:rsid w:val="00442C64"/>
    <w:rsid w:val="004728B6"/>
    <w:rsid w:val="004B116C"/>
    <w:rsid w:val="00502322"/>
    <w:rsid w:val="0050508C"/>
    <w:rsid w:val="00543FBE"/>
    <w:rsid w:val="0057478E"/>
    <w:rsid w:val="0059184F"/>
    <w:rsid w:val="00592D3B"/>
    <w:rsid w:val="005F71E6"/>
    <w:rsid w:val="0062178E"/>
    <w:rsid w:val="00625C0E"/>
    <w:rsid w:val="0064194A"/>
    <w:rsid w:val="00645384"/>
    <w:rsid w:val="0068319B"/>
    <w:rsid w:val="006878C6"/>
    <w:rsid w:val="006C3F45"/>
    <w:rsid w:val="00711B1A"/>
    <w:rsid w:val="00767E25"/>
    <w:rsid w:val="007B2F90"/>
    <w:rsid w:val="008022F9"/>
    <w:rsid w:val="0081026B"/>
    <w:rsid w:val="0084355E"/>
    <w:rsid w:val="008772AB"/>
    <w:rsid w:val="008A149C"/>
    <w:rsid w:val="008A3EBE"/>
    <w:rsid w:val="008D08F8"/>
    <w:rsid w:val="008E11AB"/>
    <w:rsid w:val="00900C0B"/>
    <w:rsid w:val="00934568"/>
    <w:rsid w:val="009408A4"/>
    <w:rsid w:val="00994652"/>
    <w:rsid w:val="009A3F91"/>
    <w:rsid w:val="00A020BB"/>
    <w:rsid w:val="00A04E16"/>
    <w:rsid w:val="00A32023"/>
    <w:rsid w:val="00A35107"/>
    <w:rsid w:val="00A736E4"/>
    <w:rsid w:val="00AD286E"/>
    <w:rsid w:val="00B45360"/>
    <w:rsid w:val="00B917AA"/>
    <w:rsid w:val="00BF0FC1"/>
    <w:rsid w:val="00C77588"/>
    <w:rsid w:val="00C77F91"/>
    <w:rsid w:val="00CC049B"/>
    <w:rsid w:val="00CC338E"/>
    <w:rsid w:val="00CC6138"/>
    <w:rsid w:val="00CD70F0"/>
    <w:rsid w:val="00CF1EFF"/>
    <w:rsid w:val="00D036AE"/>
    <w:rsid w:val="00D35FFD"/>
    <w:rsid w:val="00D73CAB"/>
    <w:rsid w:val="00D808D6"/>
    <w:rsid w:val="00DB25F1"/>
    <w:rsid w:val="00DD78EA"/>
    <w:rsid w:val="00E124C2"/>
    <w:rsid w:val="00E461B7"/>
    <w:rsid w:val="00E462AD"/>
    <w:rsid w:val="00E74833"/>
    <w:rsid w:val="00E94887"/>
    <w:rsid w:val="00E9761D"/>
    <w:rsid w:val="00EC046A"/>
    <w:rsid w:val="00F13A32"/>
    <w:rsid w:val="00F9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69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931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B25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5F1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D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34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6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736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566A-8B4F-470F-A4C1-C6F74357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111</cp:lastModifiedBy>
  <cp:revision>58</cp:revision>
  <cp:lastPrinted>2016-02-17T11:12:00Z</cp:lastPrinted>
  <dcterms:created xsi:type="dcterms:W3CDTF">2016-02-17T07:28:00Z</dcterms:created>
  <dcterms:modified xsi:type="dcterms:W3CDTF">2018-01-19T07:36:00Z</dcterms:modified>
</cp:coreProperties>
</file>