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5F" w:rsidRPr="00860979" w:rsidRDefault="00F82455" w:rsidP="0053435F">
      <w:pPr>
        <w:autoSpaceDE w:val="0"/>
        <w:autoSpaceDN w:val="0"/>
        <w:adjustRightInd w:val="0"/>
        <w:jc w:val="center"/>
        <w:rPr>
          <w:bCs/>
        </w:rPr>
      </w:pPr>
      <w:r w:rsidRPr="00860979">
        <w:t>Итоги д</w:t>
      </w:r>
      <w:r w:rsidR="00635D5C" w:rsidRPr="00860979">
        <w:t>еятельност</w:t>
      </w:r>
      <w:r w:rsidRPr="00860979">
        <w:t>и</w:t>
      </w:r>
      <w:r w:rsidR="00635D5C" w:rsidRPr="00860979">
        <w:t xml:space="preserve"> </w:t>
      </w:r>
      <w:r w:rsidRPr="00860979">
        <w:t xml:space="preserve">Территориального фонда  обязательного медицинского страхования Республики Калмыкия   (ТФОМС РК)  и  Калмыцкого филиала АО «СОГАЗ – Мед» (СМО) </w:t>
      </w:r>
      <w:r w:rsidR="00635D5C" w:rsidRPr="00860979">
        <w:t>по к</w:t>
      </w:r>
      <w:r w:rsidR="00512167" w:rsidRPr="00860979">
        <w:t>онтрол</w:t>
      </w:r>
      <w:r w:rsidR="00635D5C" w:rsidRPr="00860979">
        <w:t>ю</w:t>
      </w:r>
      <w:r w:rsidR="00512167" w:rsidRPr="00860979">
        <w:t xml:space="preserve"> объемов, сроков, качества и условий пр</w:t>
      </w:r>
      <w:r w:rsidR="007D5355" w:rsidRPr="00860979">
        <w:t>едоставления медицинской помощи</w:t>
      </w:r>
      <w:r w:rsidR="0053435F" w:rsidRPr="00860979">
        <w:rPr>
          <w:bCs/>
        </w:rPr>
        <w:t xml:space="preserve"> по обязательному медицинскому страхованию, а также ее финансового   обеспечения, в 202</w:t>
      </w:r>
      <w:r w:rsidRPr="00860979">
        <w:rPr>
          <w:bCs/>
        </w:rPr>
        <w:t>3</w:t>
      </w:r>
      <w:r w:rsidR="0053435F" w:rsidRPr="00860979">
        <w:rPr>
          <w:bCs/>
        </w:rPr>
        <w:t xml:space="preserve"> году</w:t>
      </w:r>
    </w:p>
    <w:p w:rsidR="008134C0" w:rsidRPr="00860979" w:rsidRDefault="008134C0" w:rsidP="000C336E">
      <w:pPr>
        <w:jc w:val="center"/>
      </w:pPr>
    </w:p>
    <w:p w:rsidR="00F342A7" w:rsidRPr="00860979" w:rsidRDefault="00F13D74" w:rsidP="00A367A3">
      <w:pPr>
        <w:autoSpaceDE w:val="0"/>
        <w:autoSpaceDN w:val="0"/>
        <w:adjustRightInd w:val="0"/>
        <w:ind w:firstLine="708"/>
        <w:jc w:val="both"/>
      </w:pPr>
      <w:r w:rsidRPr="00860979">
        <w:t xml:space="preserve">Контроль объемов, сроков, качества и условий предоставления медицинской помощи по </w:t>
      </w:r>
      <w:r w:rsidR="0053435F" w:rsidRPr="00860979">
        <w:rPr>
          <w:bCs/>
        </w:rPr>
        <w:t xml:space="preserve">  обязательному медицинскому страхованию, а также ее финансового обеспечения  </w:t>
      </w:r>
      <w:r w:rsidRPr="00860979">
        <w:t>включа</w:t>
      </w:r>
      <w:r w:rsidR="0053435F" w:rsidRPr="00860979">
        <w:t xml:space="preserve">ет в себя </w:t>
      </w:r>
      <w:r w:rsidRPr="00860979">
        <w:t xml:space="preserve"> медико-экономический контроль</w:t>
      </w:r>
      <w:r w:rsidR="0053435F" w:rsidRPr="00860979">
        <w:t xml:space="preserve"> реестров счетов</w:t>
      </w:r>
      <w:r w:rsidR="00E76500" w:rsidRPr="00860979">
        <w:t xml:space="preserve"> (МЭК)</w:t>
      </w:r>
      <w:r w:rsidRPr="00860979">
        <w:t xml:space="preserve">, медико-экономическую экспертизу </w:t>
      </w:r>
      <w:r w:rsidR="00E76500" w:rsidRPr="00860979">
        <w:t xml:space="preserve">(МЭЭ) </w:t>
      </w:r>
      <w:r w:rsidRPr="00860979">
        <w:t xml:space="preserve">и экспертизу качества </w:t>
      </w:r>
      <w:r w:rsidR="0053435F" w:rsidRPr="00860979">
        <w:t xml:space="preserve">оказанной </w:t>
      </w:r>
      <w:r w:rsidRPr="00860979">
        <w:t>медицинской помощи</w:t>
      </w:r>
      <w:r w:rsidR="00E76500" w:rsidRPr="00860979">
        <w:t xml:space="preserve"> (ЭКМП)</w:t>
      </w:r>
      <w:r w:rsidR="0053435F" w:rsidRPr="00860979">
        <w:t xml:space="preserve"> и </w:t>
      </w:r>
      <w:r w:rsidRPr="00860979">
        <w:t xml:space="preserve"> является о</w:t>
      </w:r>
      <w:r w:rsidR="00F342A7" w:rsidRPr="00860979">
        <w:t>дним из основных разделов защиты прав застрахованных лиц в сфере обязательного медицинского страхования</w:t>
      </w:r>
      <w:r w:rsidRPr="00860979">
        <w:t>.</w:t>
      </w:r>
    </w:p>
    <w:p w:rsidR="00D151B9" w:rsidRPr="00860979" w:rsidRDefault="008600AC" w:rsidP="00CF0528">
      <w:pPr>
        <w:ind w:firstLine="708"/>
        <w:jc w:val="both"/>
      </w:pPr>
      <w:r w:rsidRPr="00860979">
        <w:t>В 20</w:t>
      </w:r>
      <w:r w:rsidR="00C3655F" w:rsidRPr="00860979">
        <w:t>2</w:t>
      </w:r>
      <w:r w:rsidR="00D151B9" w:rsidRPr="00860979">
        <w:t>3</w:t>
      </w:r>
      <w:r w:rsidRPr="00860979">
        <w:t xml:space="preserve"> году </w:t>
      </w:r>
      <w:r w:rsidR="00CF0528" w:rsidRPr="00860979">
        <w:t xml:space="preserve">в реализации Территориальной программы ОМС участвовали ТФОМС Республики Калмыкия, </w:t>
      </w:r>
      <w:r w:rsidRPr="00860979">
        <w:t>страховая медицинская организация</w:t>
      </w:r>
      <w:r w:rsidR="00CF0528" w:rsidRPr="00860979">
        <w:t xml:space="preserve"> - </w:t>
      </w:r>
      <w:r w:rsidRPr="00860979">
        <w:t xml:space="preserve"> КФ </w:t>
      </w:r>
      <w:r w:rsidR="00C3655F" w:rsidRPr="00860979">
        <w:t>АО «Страховая компания «СОГАЗ</w:t>
      </w:r>
      <w:r w:rsidR="00096DA5">
        <w:t xml:space="preserve"> - </w:t>
      </w:r>
      <w:r w:rsidR="00C3655F" w:rsidRPr="00860979">
        <w:t>Мед»</w:t>
      </w:r>
      <w:r w:rsidRPr="00860979">
        <w:t xml:space="preserve"> и </w:t>
      </w:r>
      <w:r w:rsidR="0053435F" w:rsidRPr="00860979">
        <w:t xml:space="preserve">40 </w:t>
      </w:r>
      <w:r w:rsidRPr="00860979">
        <w:t xml:space="preserve"> медицински</w:t>
      </w:r>
      <w:r w:rsidR="00270A6E" w:rsidRPr="00860979">
        <w:t>х</w:t>
      </w:r>
      <w:r w:rsidRPr="00860979">
        <w:t xml:space="preserve"> организаци</w:t>
      </w:r>
      <w:r w:rsidR="00270A6E" w:rsidRPr="00860979">
        <w:t>й</w:t>
      </w:r>
      <w:r w:rsidR="00C3655F" w:rsidRPr="00860979">
        <w:t>.</w:t>
      </w:r>
      <w:r w:rsidR="00CF0528" w:rsidRPr="00860979">
        <w:t xml:space="preserve">  </w:t>
      </w:r>
    </w:p>
    <w:p w:rsidR="00DB07A4" w:rsidRPr="00860979" w:rsidRDefault="00CF0528" w:rsidP="00CF0528">
      <w:pPr>
        <w:ind w:firstLine="708"/>
        <w:jc w:val="both"/>
      </w:pPr>
      <w:r w:rsidRPr="00860979">
        <w:t>В организации контроля объемов, сроков, качества и условий предоставления</w:t>
      </w:r>
      <w:r w:rsidR="004A0A81" w:rsidRPr="00860979">
        <w:t xml:space="preserve"> </w:t>
      </w:r>
      <w:r w:rsidRPr="00860979">
        <w:t xml:space="preserve"> </w:t>
      </w:r>
      <w:r w:rsidR="004A0A81" w:rsidRPr="00860979">
        <w:t>медицинской помощи</w:t>
      </w:r>
      <w:r w:rsidR="004A0A81" w:rsidRPr="00860979">
        <w:rPr>
          <w:bCs/>
        </w:rPr>
        <w:t xml:space="preserve"> </w:t>
      </w:r>
      <w:r w:rsidRPr="00860979">
        <w:t xml:space="preserve"> и </w:t>
      </w:r>
      <w:r w:rsidR="008600AC" w:rsidRPr="00860979">
        <w:t xml:space="preserve"> обеспечени</w:t>
      </w:r>
      <w:r w:rsidR="00096DA5">
        <w:t>я</w:t>
      </w:r>
      <w:r w:rsidR="008600AC" w:rsidRPr="00860979">
        <w:t xml:space="preserve"> </w:t>
      </w:r>
      <w:r w:rsidRPr="00860979">
        <w:t xml:space="preserve">защиты </w:t>
      </w:r>
      <w:r w:rsidR="008600AC" w:rsidRPr="00860979">
        <w:t xml:space="preserve">прав застрахованных лиц участвовало </w:t>
      </w:r>
      <w:r w:rsidR="0011044C" w:rsidRPr="00860979">
        <w:t>52</w:t>
      </w:r>
      <w:r w:rsidR="004A0A81" w:rsidRPr="00860979">
        <w:t xml:space="preserve"> </w:t>
      </w:r>
      <w:r w:rsidR="00D07D47" w:rsidRPr="00860979">
        <w:t xml:space="preserve"> </w:t>
      </w:r>
      <w:r w:rsidRPr="00860979">
        <w:t xml:space="preserve"> специалист</w:t>
      </w:r>
      <w:r w:rsidR="00096DA5">
        <w:t>а</w:t>
      </w:r>
      <w:r w:rsidRPr="00860979">
        <w:t xml:space="preserve">, в том числе </w:t>
      </w:r>
      <w:r w:rsidR="0011044C" w:rsidRPr="00860979">
        <w:t>9</w:t>
      </w:r>
      <w:r w:rsidR="00860979">
        <w:t xml:space="preserve"> (</w:t>
      </w:r>
      <w:r w:rsidR="00D07D47" w:rsidRPr="00860979">
        <w:t>1</w:t>
      </w:r>
      <w:r w:rsidR="0011044C" w:rsidRPr="00860979">
        <w:t xml:space="preserve">7,3 </w:t>
      </w:r>
      <w:r w:rsidR="004A0A81" w:rsidRPr="00860979">
        <w:t xml:space="preserve"> </w:t>
      </w:r>
      <w:r w:rsidRPr="00860979">
        <w:t>%</w:t>
      </w:r>
      <w:r w:rsidR="004A0A81" w:rsidRPr="00860979">
        <w:t xml:space="preserve">) </w:t>
      </w:r>
      <w:r w:rsidRPr="00860979">
        <w:t xml:space="preserve"> штатных специалистов ТФОМС РК и СМО, и </w:t>
      </w:r>
      <w:r w:rsidR="004A0A81" w:rsidRPr="00860979">
        <w:t>4</w:t>
      </w:r>
      <w:r w:rsidR="0011044C" w:rsidRPr="00860979">
        <w:t>3</w:t>
      </w:r>
      <w:r w:rsidR="004A0A81" w:rsidRPr="00860979">
        <w:t xml:space="preserve"> (8</w:t>
      </w:r>
      <w:r w:rsidR="0011044C" w:rsidRPr="00860979">
        <w:t>2</w:t>
      </w:r>
      <w:r w:rsidR="004A0A81" w:rsidRPr="00860979">
        <w:t xml:space="preserve">,7 %) </w:t>
      </w:r>
      <w:r w:rsidRPr="00860979">
        <w:t>специалист</w:t>
      </w:r>
      <w:r w:rsidR="00096DA5">
        <w:t>а</w:t>
      </w:r>
      <w:r w:rsidRPr="00860979">
        <w:t xml:space="preserve">, привлеченных на договорной основе. Из </w:t>
      </w:r>
      <w:r w:rsidR="0011044C" w:rsidRPr="00860979">
        <w:t xml:space="preserve">52 </w:t>
      </w:r>
      <w:r w:rsidRPr="00860979">
        <w:t xml:space="preserve">специалистов </w:t>
      </w:r>
      <w:r w:rsidR="004A0A81" w:rsidRPr="00860979">
        <w:t>7</w:t>
      </w:r>
      <w:r w:rsidR="00860979">
        <w:t xml:space="preserve"> (</w:t>
      </w:r>
      <w:r w:rsidR="004A0A81" w:rsidRPr="00860979">
        <w:t>1</w:t>
      </w:r>
      <w:r w:rsidR="0011044C" w:rsidRPr="00860979">
        <w:t xml:space="preserve">3,5 </w:t>
      </w:r>
      <w:r w:rsidRPr="00860979">
        <w:t>%</w:t>
      </w:r>
      <w:r w:rsidR="00860979">
        <w:t>)</w:t>
      </w:r>
      <w:r w:rsidR="0011044C" w:rsidRPr="00860979">
        <w:t xml:space="preserve"> </w:t>
      </w:r>
      <w:r w:rsidRPr="00860979">
        <w:t xml:space="preserve"> составили  специалисты ТФОМС РК</w:t>
      </w:r>
      <w:r w:rsidR="00DB07A4" w:rsidRPr="00860979">
        <w:t xml:space="preserve"> </w:t>
      </w:r>
      <w:r w:rsidRPr="00860979">
        <w:t xml:space="preserve">и </w:t>
      </w:r>
      <w:r w:rsidR="00D07D47" w:rsidRPr="00860979">
        <w:t>4</w:t>
      </w:r>
      <w:r w:rsidR="0011044C" w:rsidRPr="00860979">
        <w:t>5</w:t>
      </w:r>
      <w:r w:rsidR="00DB07A4" w:rsidRPr="00860979">
        <w:t xml:space="preserve"> </w:t>
      </w:r>
      <w:r w:rsidR="00860979">
        <w:t>(</w:t>
      </w:r>
      <w:r w:rsidR="00DB07A4" w:rsidRPr="00860979">
        <w:t>8</w:t>
      </w:r>
      <w:r w:rsidR="0011044C" w:rsidRPr="00860979">
        <w:t xml:space="preserve">6,5 </w:t>
      </w:r>
      <w:r w:rsidR="00DB07A4" w:rsidRPr="00860979">
        <w:t xml:space="preserve"> </w:t>
      </w:r>
      <w:r w:rsidR="00860979">
        <w:t>%)</w:t>
      </w:r>
      <w:r w:rsidR="00270A6E" w:rsidRPr="00860979">
        <w:t xml:space="preserve"> </w:t>
      </w:r>
      <w:r w:rsidRPr="00860979">
        <w:t xml:space="preserve">- </w:t>
      </w:r>
      <w:r w:rsidR="008600AC" w:rsidRPr="00860979">
        <w:t>с</w:t>
      </w:r>
      <w:r w:rsidRPr="00860979">
        <w:t xml:space="preserve">пециалисты </w:t>
      </w:r>
      <w:r w:rsidR="008600AC" w:rsidRPr="00860979">
        <w:t xml:space="preserve"> СМО.</w:t>
      </w:r>
      <w:r w:rsidRPr="00860979">
        <w:t xml:space="preserve"> </w:t>
      </w:r>
    </w:p>
    <w:p w:rsidR="008600AC" w:rsidRPr="00860979" w:rsidRDefault="008600AC" w:rsidP="00CF0528">
      <w:pPr>
        <w:ind w:firstLine="708"/>
        <w:jc w:val="both"/>
      </w:pPr>
      <w:r w:rsidRPr="00860979">
        <w:t>В организации и  проведении</w:t>
      </w:r>
      <w:r w:rsidR="00CF0528" w:rsidRPr="00860979">
        <w:t xml:space="preserve"> МЭК реестров счетов участвовало</w:t>
      </w:r>
      <w:r w:rsidR="00E455A3" w:rsidRPr="00860979">
        <w:t xml:space="preserve"> </w:t>
      </w:r>
      <w:r w:rsidR="00D07D47" w:rsidRPr="00860979">
        <w:t>4</w:t>
      </w:r>
      <w:r w:rsidR="00860979">
        <w:t xml:space="preserve"> </w:t>
      </w:r>
      <w:r w:rsidR="00DB07A4" w:rsidRPr="00860979">
        <w:t xml:space="preserve"> специалист</w:t>
      </w:r>
      <w:r w:rsidR="00096DA5">
        <w:t>ов</w:t>
      </w:r>
      <w:r w:rsidR="00DB07A4" w:rsidRPr="00860979">
        <w:t xml:space="preserve"> </w:t>
      </w:r>
      <w:r w:rsidR="00096DA5">
        <w:t>(</w:t>
      </w:r>
      <w:r w:rsidR="00096DA5" w:rsidRPr="00860979">
        <w:t>или 7,7 % от общего числа</w:t>
      </w:r>
      <w:r w:rsidR="00096DA5">
        <w:t>)</w:t>
      </w:r>
      <w:r w:rsidR="00860979">
        <w:t xml:space="preserve"> ТФОМС РК. </w:t>
      </w:r>
      <w:r w:rsidR="0011044C" w:rsidRPr="00860979">
        <w:t xml:space="preserve"> В</w:t>
      </w:r>
      <w:r w:rsidRPr="00860979">
        <w:t xml:space="preserve"> </w:t>
      </w:r>
      <w:r w:rsidR="00E455A3" w:rsidRPr="00860979">
        <w:t xml:space="preserve">организации и </w:t>
      </w:r>
      <w:r w:rsidRPr="00860979">
        <w:t xml:space="preserve">проведении МЭЭ </w:t>
      </w:r>
      <w:r w:rsidR="00E455A3" w:rsidRPr="00860979">
        <w:t xml:space="preserve">участвовало </w:t>
      </w:r>
      <w:r w:rsidR="0011044C" w:rsidRPr="00860979">
        <w:t>5</w:t>
      </w:r>
      <w:r w:rsidR="00860979">
        <w:t xml:space="preserve"> (</w:t>
      </w:r>
      <w:r w:rsidR="0011044C" w:rsidRPr="00860979">
        <w:t xml:space="preserve">9,6 </w:t>
      </w:r>
      <w:r w:rsidR="00860979">
        <w:t xml:space="preserve"> %)</w:t>
      </w:r>
      <w:r w:rsidR="009A4B93" w:rsidRPr="00860979">
        <w:t xml:space="preserve"> специалистов  (из них 1 (</w:t>
      </w:r>
      <w:r w:rsidR="00DB07A4" w:rsidRPr="00860979">
        <w:t>2</w:t>
      </w:r>
      <w:r w:rsidR="0011044C" w:rsidRPr="00860979">
        <w:t>0</w:t>
      </w:r>
      <w:r w:rsidR="00DB07A4" w:rsidRPr="00860979">
        <w:t xml:space="preserve">,0 </w:t>
      </w:r>
      <w:r w:rsidR="009A4B93" w:rsidRPr="00860979">
        <w:t xml:space="preserve">%) </w:t>
      </w:r>
      <w:r w:rsidR="00E455A3" w:rsidRPr="00860979">
        <w:t xml:space="preserve"> специалист – эксперт ТФОМС РК </w:t>
      </w:r>
      <w:r w:rsidRPr="00860979">
        <w:t>и</w:t>
      </w:r>
      <w:r w:rsidR="00E455A3" w:rsidRPr="00860979">
        <w:t xml:space="preserve"> </w:t>
      </w:r>
      <w:r w:rsidR="0011044C" w:rsidRPr="00860979">
        <w:t>4</w:t>
      </w:r>
      <w:r w:rsidR="009A4B93" w:rsidRPr="00860979">
        <w:t xml:space="preserve"> (</w:t>
      </w:r>
      <w:r w:rsidR="0011044C" w:rsidRPr="00860979">
        <w:t xml:space="preserve">80,0 </w:t>
      </w:r>
      <w:r w:rsidR="00DB07A4" w:rsidRPr="00860979">
        <w:t xml:space="preserve"> </w:t>
      </w:r>
      <w:r w:rsidR="009A4B93" w:rsidRPr="00860979">
        <w:t xml:space="preserve">%) </w:t>
      </w:r>
      <w:r w:rsidRPr="00860979">
        <w:t xml:space="preserve"> </w:t>
      </w:r>
      <w:r w:rsidR="00DB07A4" w:rsidRPr="00860979">
        <w:t>с</w:t>
      </w:r>
      <w:r w:rsidR="00E455A3" w:rsidRPr="00860979">
        <w:t>пециалист</w:t>
      </w:r>
      <w:r w:rsidR="00096DA5">
        <w:t xml:space="preserve">а </w:t>
      </w:r>
      <w:r w:rsidR="00E455A3" w:rsidRPr="00860979">
        <w:t>– эксперт</w:t>
      </w:r>
      <w:r w:rsidR="00096DA5">
        <w:t xml:space="preserve">а </w:t>
      </w:r>
      <w:r w:rsidR="00E455A3" w:rsidRPr="00860979">
        <w:t>СМО</w:t>
      </w:r>
      <w:r w:rsidR="009A4B93" w:rsidRPr="00860979">
        <w:t>)</w:t>
      </w:r>
      <w:r w:rsidR="0011044C" w:rsidRPr="00860979">
        <w:t>. Д</w:t>
      </w:r>
      <w:r w:rsidR="00E455A3" w:rsidRPr="00860979">
        <w:t>ля организации и проведени</w:t>
      </w:r>
      <w:r w:rsidR="00E76500" w:rsidRPr="00860979">
        <w:t>я</w:t>
      </w:r>
      <w:r w:rsidR="00E455A3" w:rsidRPr="00860979">
        <w:t xml:space="preserve"> ЭКМП  привлечены</w:t>
      </w:r>
      <w:r w:rsidR="009A4B93" w:rsidRPr="00860979">
        <w:t xml:space="preserve"> </w:t>
      </w:r>
      <w:r w:rsidR="0011044C" w:rsidRPr="00860979">
        <w:t xml:space="preserve">43 </w:t>
      </w:r>
      <w:r w:rsidR="009A4B93" w:rsidRPr="00860979">
        <w:t>эксперт</w:t>
      </w:r>
      <w:r w:rsidR="00096DA5">
        <w:t>а</w:t>
      </w:r>
      <w:r w:rsidR="009A4B93" w:rsidRPr="00860979">
        <w:t xml:space="preserve"> </w:t>
      </w:r>
      <w:r w:rsidR="0011044C" w:rsidRPr="00860979">
        <w:t>качества медицинской помощи</w:t>
      </w:r>
      <w:r w:rsidR="00860979">
        <w:t xml:space="preserve">, </w:t>
      </w:r>
      <w:r w:rsidR="009A4B93" w:rsidRPr="00860979">
        <w:t xml:space="preserve">из них </w:t>
      </w:r>
      <w:r w:rsidR="00E455A3" w:rsidRPr="00860979">
        <w:t xml:space="preserve"> </w:t>
      </w:r>
      <w:r w:rsidR="00195DF9" w:rsidRPr="00860979">
        <w:t xml:space="preserve">привлечены </w:t>
      </w:r>
      <w:r w:rsidR="00E455A3" w:rsidRPr="00860979">
        <w:t xml:space="preserve">ТФОМС РК </w:t>
      </w:r>
      <w:r w:rsidRPr="00860979">
        <w:t xml:space="preserve"> </w:t>
      </w:r>
      <w:r w:rsidR="00E455A3" w:rsidRPr="00860979">
        <w:t xml:space="preserve"> </w:t>
      </w:r>
      <w:r w:rsidR="009A4B93" w:rsidRPr="00860979">
        <w:t>2 (</w:t>
      </w:r>
      <w:r w:rsidR="0011044C" w:rsidRPr="00860979">
        <w:t xml:space="preserve">4,6 </w:t>
      </w:r>
      <w:r w:rsidR="009A4B93" w:rsidRPr="00860979">
        <w:t xml:space="preserve"> %) </w:t>
      </w:r>
      <w:r w:rsidR="00E455A3" w:rsidRPr="00860979">
        <w:t xml:space="preserve">и </w:t>
      </w:r>
      <w:r w:rsidR="00195DF9" w:rsidRPr="00860979">
        <w:t xml:space="preserve">СМО - </w:t>
      </w:r>
      <w:r w:rsidR="009A4B93" w:rsidRPr="00860979">
        <w:t>4</w:t>
      </w:r>
      <w:r w:rsidR="0011044C" w:rsidRPr="00860979">
        <w:t>1</w:t>
      </w:r>
      <w:r w:rsidR="009A4B93" w:rsidRPr="00860979">
        <w:t xml:space="preserve"> (</w:t>
      </w:r>
      <w:r w:rsidR="0011044C" w:rsidRPr="00860979">
        <w:t xml:space="preserve">95,4 </w:t>
      </w:r>
      <w:r w:rsidR="009A4B93" w:rsidRPr="00860979">
        <w:t>%)</w:t>
      </w:r>
      <w:r w:rsidR="00E455A3" w:rsidRPr="00860979">
        <w:t xml:space="preserve">. </w:t>
      </w:r>
      <w:r w:rsidRPr="00860979">
        <w:t>Из</w:t>
      </w:r>
      <w:r w:rsidR="0011044C" w:rsidRPr="00860979">
        <w:t xml:space="preserve"> 43 </w:t>
      </w:r>
      <w:r w:rsidR="009A4B93" w:rsidRPr="00860979">
        <w:t xml:space="preserve"> </w:t>
      </w:r>
      <w:r w:rsidR="00217342" w:rsidRPr="00860979">
        <w:t xml:space="preserve"> экспертов КМП имели высшую квалификационную категорию 2</w:t>
      </w:r>
      <w:r w:rsidR="00195DF9" w:rsidRPr="00860979">
        <w:t>0</w:t>
      </w:r>
      <w:r w:rsidR="00217342" w:rsidRPr="00860979">
        <w:t xml:space="preserve"> экспертов</w:t>
      </w:r>
      <w:r w:rsidR="00195DF9" w:rsidRPr="00860979">
        <w:t xml:space="preserve"> (</w:t>
      </w:r>
      <w:r w:rsidR="00217342" w:rsidRPr="00860979">
        <w:t xml:space="preserve">или </w:t>
      </w:r>
      <w:r w:rsidR="00AF756D" w:rsidRPr="00860979">
        <w:t>4</w:t>
      </w:r>
      <w:r w:rsidR="00195DF9" w:rsidRPr="00860979">
        <w:t xml:space="preserve">6,5  %)  и </w:t>
      </w:r>
      <w:r w:rsidR="00217342" w:rsidRPr="00860979">
        <w:t xml:space="preserve">ученую степень </w:t>
      </w:r>
      <w:r w:rsidR="00195DF9" w:rsidRPr="00860979">
        <w:t xml:space="preserve"> - 9 </w:t>
      </w:r>
      <w:r w:rsidR="00217342" w:rsidRPr="00860979">
        <w:t xml:space="preserve"> </w:t>
      </w:r>
      <w:r w:rsidR="00195DF9" w:rsidRPr="00860979">
        <w:t>(</w:t>
      </w:r>
      <w:r w:rsidR="00217342" w:rsidRPr="00860979">
        <w:t xml:space="preserve">или </w:t>
      </w:r>
      <w:r w:rsidR="00195DF9" w:rsidRPr="00860979">
        <w:t xml:space="preserve">20,9 </w:t>
      </w:r>
      <w:r w:rsidR="00217342" w:rsidRPr="00860979">
        <w:t>%</w:t>
      </w:r>
      <w:r w:rsidR="00195DF9" w:rsidRPr="00860979">
        <w:t>)</w:t>
      </w:r>
      <w:r w:rsidR="00217342" w:rsidRPr="00860979">
        <w:t>.</w:t>
      </w:r>
    </w:p>
    <w:p w:rsidR="00035FFB" w:rsidRPr="00860979" w:rsidRDefault="00035FFB" w:rsidP="00C14A03">
      <w:pPr>
        <w:ind w:firstLine="709"/>
        <w:jc w:val="center"/>
        <w:outlineLvl w:val="1"/>
      </w:pPr>
    </w:p>
    <w:p w:rsidR="008600AC" w:rsidRPr="00860979" w:rsidRDefault="008600AC" w:rsidP="008600AC">
      <w:pPr>
        <w:ind w:firstLine="709"/>
        <w:jc w:val="center"/>
        <w:outlineLvl w:val="1"/>
      </w:pPr>
      <w:r w:rsidRPr="00860979">
        <w:t>Результаты медико-экономического контроля</w:t>
      </w:r>
      <w:r w:rsidR="005774C5" w:rsidRPr="00860979">
        <w:t xml:space="preserve">  (МЭК) реестров счетов оказанной медицинской помощи</w:t>
      </w:r>
    </w:p>
    <w:p w:rsidR="008600AC" w:rsidRPr="00860979" w:rsidRDefault="008600AC" w:rsidP="008600AC">
      <w:pPr>
        <w:ind w:firstLine="709"/>
        <w:jc w:val="center"/>
        <w:outlineLvl w:val="1"/>
      </w:pPr>
    </w:p>
    <w:p w:rsidR="00EC5FD9" w:rsidRDefault="008600AC" w:rsidP="00EC5FD9">
      <w:pPr>
        <w:pStyle w:val="20"/>
        <w:spacing w:line="240" w:lineRule="auto"/>
        <w:contextualSpacing/>
        <w:jc w:val="both"/>
      </w:pPr>
      <w:r w:rsidRPr="00860979">
        <w:t xml:space="preserve">  </w:t>
      </w:r>
      <w:r w:rsidRPr="00860979">
        <w:tab/>
      </w:r>
      <w:r w:rsidR="00B10294" w:rsidRPr="00860979">
        <w:t xml:space="preserve">В 2023 году медицинскими организациями предъявлено к оплате 1 600 908  (индивидуальных) реестров  счетов, что на 188 443 (13,3 %)  счетов больше, чем в 2022 году (в 2022 году - 1 412 465 </w:t>
      </w:r>
      <w:r w:rsidR="00096DA5">
        <w:t>счетов).  Из них 1 548 947 (</w:t>
      </w:r>
      <w:r w:rsidR="00B10294" w:rsidRPr="00860979">
        <w:t>96,8 %)  счетов  составили реестры счетов оказанной помощи застрахованным лицам (</w:t>
      </w:r>
      <w:r w:rsidR="00096DA5">
        <w:t xml:space="preserve">ЗЛ) на территории страхования, </w:t>
      </w:r>
      <w:r w:rsidR="00B10294" w:rsidRPr="00860979">
        <w:t xml:space="preserve"> 51 961 (или 3,2 %) составили реестры счетов оказанной помощи   ЗЛ вне территории страхования.</w:t>
      </w:r>
    </w:p>
    <w:p w:rsidR="00EC5FD9" w:rsidRDefault="00EC5FD9" w:rsidP="00EC5FD9">
      <w:pPr>
        <w:pStyle w:val="20"/>
        <w:spacing w:line="240" w:lineRule="auto"/>
        <w:ind w:firstLine="708"/>
        <w:contextualSpacing/>
        <w:jc w:val="both"/>
      </w:pPr>
      <w:r w:rsidRPr="0072259B">
        <w:t xml:space="preserve">Количество страховых случаев, подвергшихся </w:t>
      </w:r>
      <w:r w:rsidR="00997E8F">
        <w:t>повторному МЭК реестро</w:t>
      </w:r>
      <w:r w:rsidR="00096DA5">
        <w:t xml:space="preserve">в счетов, составило 131 </w:t>
      </w:r>
      <w:r w:rsidR="00997E8F">
        <w:t xml:space="preserve"> или 0,008 % от числа предъявленных к оплате</w:t>
      </w:r>
      <w:r w:rsidR="00096DA5">
        <w:t xml:space="preserve"> </w:t>
      </w:r>
      <w:r w:rsidR="00997E8F">
        <w:t xml:space="preserve"> реестров счетов (в 2022 году подвергнуто повторному МЭК 52, или 0,004 % от числа предъявленных к оплате реестров счетов) . </w:t>
      </w:r>
    </w:p>
    <w:p w:rsidR="00B10294" w:rsidRDefault="00B10294" w:rsidP="00B10294">
      <w:pPr>
        <w:pStyle w:val="20"/>
        <w:spacing w:line="240" w:lineRule="auto"/>
        <w:contextualSpacing/>
        <w:jc w:val="both"/>
      </w:pPr>
      <w:r w:rsidRPr="00860979">
        <w:t xml:space="preserve"> </w:t>
      </w:r>
      <w:r w:rsidRPr="00860979">
        <w:tab/>
        <w:t xml:space="preserve"> В разрезе условий оказания </w:t>
      </w:r>
      <w:r w:rsidR="0074444B" w:rsidRPr="00860979">
        <w:t xml:space="preserve">медицинской помощи </w:t>
      </w:r>
      <w:r w:rsidRPr="00860979">
        <w:t>1</w:t>
      </w:r>
      <w:r w:rsidR="0074444B" w:rsidRPr="00860979">
        <w:t> 450 340  (</w:t>
      </w:r>
      <w:r w:rsidRPr="00860979">
        <w:t>90,</w:t>
      </w:r>
      <w:r w:rsidR="0074444B" w:rsidRPr="00860979">
        <w:t>6</w:t>
      </w:r>
      <w:r w:rsidRPr="00860979">
        <w:t xml:space="preserve"> %</w:t>
      </w:r>
      <w:r w:rsidR="0074444B" w:rsidRPr="00860979">
        <w:t xml:space="preserve">) </w:t>
      </w:r>
      <w:r w:rsidRPr="00860979">
        <w:t xml:space="preserve"> составили рее</w:t>
      </w:r>
      <w:r w:rsidR="00096DA5">
        <w:t>стры счетов амбулаторной помощи,</w:t>
      </w:r>
      <w:r w:rsidRPr="00860979">
        <w:t xml:space="preserve"> </w:t>
      </w:r>
      <w:r w:rsidR="00826F64">
        <w:t>80 285 (</w:t>
      </w:r>
      <w:r w:rsidR="0074444B" w:rsidRPr="00860979">
        <w:t xml:space="preserve">5,0 %) </w:t>
      </w:r>
      <w:r w:rsidRPr="00860979">
        <w:t xml:space="preserve">-  реестры </w:t>
      </w:r>
      <w:r w:rsidR="0074444B" w:rsidRPr="00860979">
        <w:t xml:space="preserve">счетов </w:t>
      </w:r>
      <w:r w:rsidRPr="00860979">
        <w:t>скорой</w:t>
      </w:r>
      <w:r w:rsidR="0074444B" w:rsidRPr="00860979">
        <w:t xml:space="preserve"> медицинской помощи</w:t>
      </w:r>
      <w:r w:rsidR="00096DA5">
        <w:t>,</w:t>
      </w:r>
      <w:r w:rsidRPr="00860979">
        <w:t xml:space="preserve">  </w:t>
      </w:r>
      <w:r w:rsidR="0074444B" w:rsidRPr="00860979">
        <w:t xml:space="preserve">52 806 (3,3 %) </w:t>
      </w:r>
      <w:r w:rsidRPr="00860979">
        <w:t>-  реестры</w:t>
      </w:r>
      <w:r w:rsidR="0074444B" w:rsidRPr="00860979">
        <w:t xml:space="preserve"> счетов</w:t>
      </w:r>
      <w:r w:rsidRPr="00860979">
        <w:t xml:space="preserve">  стационарной помощи</w:t>
      </w:r>
      <w:r w:rsidR="00096DA5">
        <w:t>,</w:t>
      </w:r>
      <w:r w:rsidRPr="00860979">
        <w:t xml:space="preserve"> </w:t>
      </w:r>
      <w:r w:rsidR="0074444B" w:rsidRPr="00860979">
        <w:t xml:space="preserve">17 477 (1,1 %) </w:t>
      </w:r>
      <w:r w:rsidRPr="00860979">
        <w:t xml:space="preserve">- реестры </w:t>
      </w:r>
      <w:r w:rsidR="0074444B" w:rsidRPr="00860979">
        <w:t xml:space="preserve"> счетов </w:t>
      </w:r>
      <w:r w:rsidRPr="00860979">
        <w:t xml:space="preserve">стационарозамещающей помощи. </w:t>
      </w:r>
    </w:p>
    <w:p w:rsidR="0074444B" w:rsidRDefault="0074444B" w:rsidP="0074444B">
      <w:pPr>
        <w:jc w:val="center"/>
      </w:pPr>
      <w:r>
        <w:t xml:space="preserve">Результаты проведенного ТФОМС РК медико – экономического контроля </w:t>
      </w:r>
    </w:p>
    <w:p w:rsidR="0074444B" w:rsidRPr="00F82455" w:rsidRDefault="0074444B" w:rsidP="0074444B">
      <w:pPr>
        <w:jc w:val="center"/>
      </w:pPr>
      <w:r>
        <w:t xml:space="preserve">реестров счетов  </w:t>
      </w:r>
      <w:r w:rsidRPr="00F82455">
        <w:t>в 20</w:t>
      </w:r>
      <w:r>
        <w:t>22-</w:t>
      </w:r>
      <w:r w:rsidR="00096DA5">
        <w:t>20</w:t>
      </w:r>
      <w:r w:rsidRPr="00F82455">
        <w:t>2</w:t>
      </w:r>
      <w:r>
        <w:t>3гг.</w:t>
      </w:r>
    </w:p>
    <w:p w:rsidR="005774C5" w:rsidRDefault="005774C5" w:rsidP="005774C5">
      <w:pPr>
        <w:pStyle w:val="20"/>
        <w:spacing w:line="240" w:lineRule="auto"/>
        <w:jc w:val="right"/>
      </w:pPr>
      <w:r w:rsidRPr="00F82455">
        <w:t xml:space="preserve">Таблица № </w:t>
      </w:r>
      <w:r w:rsidR="00540574" w:rsidRPr="00F82455">
        <w:t>1</w:t>
      </w:r>
    </w:p>
    <w:tbl>
      <w:tblPr>
        <w:tblW w:w="9985" w:type="dxa"/>
        <w:tblInd w:w="95" w:type="dxa"/>
        <w:tblLook w:val="04A0"/>
      </w:tblPr>
      <w:tblGrid>
        <w:gridCol w:w="1715"/>
        <w:gridCol w:w="1205"/>
        <w:gridCol w:w="1089"/>
        <w:gridCol w:w="1551"/>
        <w:gridCol w:w="1537"/>
        <w:gridCol w:w="1373"/>
        <w:gridCol w:w="1515"/>
      </w:tblGrid>
      <w:tr w:rsidR="00263626" w:rsidRPr="00263626" w:rsidTr="00826F64">
        <w:trPr>
          <w:trHeight w:val="105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826F64" w:rsidP="00263626">
            <w:pPr>
              <w:jc w:val="center"/>
            </w:pPr>
            <w:r>
              <w:t>Н</w:t>
            </w:r>
            <w:r w:rsidR="00263626" w:rsidRPr="00263626">
              <w:t>аименование показателя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826F64" w:rsidP="00263626">
            <w:pPr>
              <w:jc w:val="center"/>
            </w:pPr>
            <w:r>
              <w:t>Г</w:t>
            </w:r>
            <w:r w:rsidR="00263626" w:rsidRPr="00263626">
              <w:t>од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826F64" w:rsidP="00263626">
            <w:pPr>
              <w:jc w:val="center"/>
            </w:pPr>
            <w:r>
              <w:t>В</w:t>
            </w:r>
            <w:r w:rsidR="00263626" w:rsidRPr="00263626">
              <w:t>сего: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в том числе по медицинской помощи, оказанной:</w:t>
            </w:r>
          </w:p>
        </w:tc>
      </w:tr>
      <w:tr w:rsidR="00263626" w:rsidRPr="00263626" w:rsidTr="00826F64">
        <w:trPr>
          <w:trHeight w:val="93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26" w:rsidRPr="00263626" w:rsidRDefault="00263626" w:rsidP="00263626"/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26" w:rsidRPr="00263626" w:rsidRDefault="00263626" w:rsidP="00263626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26" w:rsidRPr="00263626" w:rsidRDefault="00263626" w:rsidP="0026362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скорая медицинская помощь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амбулаторно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в дневном стационаре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стационарно</w:t>
            </w:r>
          </w:p>
        </w:tc>
      </w:tr>
      <w:tr w:rsidR="00263626" w:rsidRPr="00263626" w:rsidTr="00826F64">
        <w:trPr>
          <w:trHeight w:val="1395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826F64" w:rsidP="00826F64">
            <w:r>
              <w:t>К</w:t>
            </w:r>
            <w:r w:rsidR="00263626" w:rsidRPr="00263626">
              <w:t>оличество страховых случаев, подвергшихся МЭК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2023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1600908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80 285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1 450 340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17 477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52 806</w:t>
            </w:r>
          </w:p>
        </w:tc>
      </w:tr>
      <w:tr w:rsidR="00263626" w:rsidRPr="00263626" w:rsidTr="00826F64">
        <w:trPr>
          <w:trHeight w:val="48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26" w:rsidRPr="00263626" w:rsidRDefault="00263626" w:rsidP="00826F64"/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2022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1412465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83785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1271598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42164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14918</w:t>
            </w:r>
          </w:p>
        </w:tc>
      </w:tr>
      <w:tr w:rsidR="00263626" w:rsidRPr="00263626" w:rsidTr="00826F64">
        <w:trPr>
          <w:trHeight w:val="58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26" w:rsidRPr="00263626" w:rsidRDefault="00263626" w:rsidP="00826F64"/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динамика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188443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-3500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178742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-24687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37888</w:t>
            </w:r>
          </w:p>
        </w:tc>
      </w:tr>
      <w:tr w:rsidR="00263626" w:rsidRPr="00263626" w:rsidTr="00826F64">
        <w:trPr>
          <w:trHeight w:val="90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826F64" w:rsidP="00826F64">
            <w:r>
              <w:t>К</w:t>
            </w:r>
            <w:r w:rsidR="00263626" w:rsidRPr="00263626">
              <w:t>оличество страховых случаев, содержащих нарушения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2023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89767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230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72488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3913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13136</w:t>
            </w:r>
          </w:p>
        </w:tc>
      </w:tr>
      <w:tr w:rsidR="00263626" w:rsidRPr="00263626" w:rsidTr="00826F64">
        <w:trPr>
          <w:trHeight w:val="73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26" w:rsidRPr="00263626" w:rsidRDefault="00263626" w:rsidP="00826F64"/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2022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41532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2986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30030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6831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1685</w:t>
            </w:r>
          </w:p>
        </w:tc>
      </w:tr>
      <w:tr w:rsidR="00263626" w:rsidRPr="00263626" w:rsidTr="00826F64">
        <w:trPr>
          <w:trHeight w:val="45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26" w:rsidRPr="00263626" w:rsidRDefault="00263626" w:rsidP="00826F64"/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динамика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48235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-2756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42458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-2918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26" w:rsidRPr="00263626" w:rsidRDefault="00263626" w:rsidP="00263626">
            <w:pPr>
              <w:jc w:val="center"/>
            </w:pPr>
            <w:r w:rsidRPr="00263626">
              <w:t>11451</w:t>
            </w:r>
          </w:p>
        </w:tc>
      </w:tr>
      <w:tr w:rsidR="00826F64" w:rsidRPr="00263626" w:rsidTr="00826F64">
        <w:trPr>
          <w:trHeight w:val="120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Pr="00263626" w:rsidRDefault="00F075EC" w:rsidP="00826F64">
            <w:r>
              <w:t xml:space="preserve">Доля </w:t>
            </w:r>
            <w:r w:rsidR="00826F64" w:rsidRPr="00263626">
              <w:t>случаев, содержащих нарушения, 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Pr="00263626" w:rsidRDefault="00826F64" w:rsidP="00263626">
            <w:pPr>
              <w:jc w:val="center"/>
            </w:pPr>
            <w:r w:rsidRPr="00263626">
              <w:t>2023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5,6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5,0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22,4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24,9</w:t>
            </w:r>
          </w:p>
        </w:tc>
      </w:tr>
      <w:tr w:rsidR="00826F64" w:rsidRPr="00263626" w:rsidTr="00826F64">
        <w:trPr>
          <w:trHeight w:val="54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64" w:rsidRPr="00263626" w:rsidRDefault="00826F64" w:rsidP="00263626"/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Pr="00263626" w:rsidRDefault="00826F64" w:rsidP="00263626">
            <w:pPr>
              <w:jc w:val="center"/>
            </w:pPr>
            <w:r w:rsidRPr="00263626">
              <w:t>2022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2,9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3,6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2,4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16,2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11,3</w:t>
            </w:r>
          </w:p>
        </w:tc>
      </w:tr>
      <w:tr w:rsidR="00826F64" w:rsidRPr="00263626" w:rsidTr="00826F64">
        <w:trPr>
          <w:trHeight w:val="73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64" w:rsidRPr="00263626" w:rsidRDefault="00826F64" w:rsidP="00263626"/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Pr="00263626" w:rsidRDefault="00826F64" w:rsidP="00263626">
            <w:pPr>
              <w:jc w:val="center"/>
            </w:pPr>
            <w:r w:rsidRPr="00263626">
              <w:t>динамика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2,7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-3,3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2,6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6,2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64" w:rsidRDefault="00826F64">
            <w:pPr>
              <w:jc w:val="center"/>
            </w:pPr>
            <w:r>
              <w:t>13,6</w:t>
            </w:r>
          </w:p>
        </w:tc>
      </w:tr>
    </w:tbl>
    <w:p w:rsidR="00263626" w:rsidRDefault="00263626" w:rsidP="005774C5">
      <w:pPr>
        <w:pStyle w:val="20"/>
        <w:spacing w:line="240" w:lineRule="auto"/>
        <w:jc w:val="right"/>
      </w:pPr>
    </w:p>
    <w:p w:rsidR="00FA1B96" w:rsidRDefault="008366B9" w:rsidP="00826F64">
      <w:pPr>
        <w:pStyle w:val="20"/>
        <w:spacing w:line="240" w:lineRule="auto"/>
        <w:ind w:firstLine="709"/>
        <w:contextualSpacing/>
        <w:jc w:val="both"/>
      </w:pPr>
      <w:r w:rsidRPr="00F82455">
        <w:t xml:space="preserve">По результатам МЭК отклонено от оплаты </w:t>
      </w:r>
      <w:r w:rsidR="00440F14" w:rsidRPr="00F82455">
        <w:t xml:space="preserve"> </w:t>
      </w:r>
      <w:r w:rsidR="0074444B">
        <w:t>89 767</w:t>
      </w:r>
      <w:r w:rsidR="00440F14" w:rsidRPr="00F82455">
        <w:t xml:space="preserve"> </w:t>
      </w:r>
      <w:r w:rsidR="000800AA">
        <w:t>страховых случаев</w:t>
      </w:r>
      <w:r w:rsidRPr="00F82455">
        <w:t xml:space="preserve">, что составило </w:t>
      </w:r>
      <w:r w:rsidR="0074444B">
        <w:t xml:space="preserve">5,6 </w:t>
      </w:r>
      <w:r w:rsidRPr="00F82455">
        <w:t>% от числа предъявленных к оплате реестров счетов</w:t>
      </w:r>
      <w:r w:rsidR="000800AA">
        <w:t xml:space="preserve"> (в 2022 году</w:t>
      </w:r>
      <w:r w:rsidR="00826F64">
        <w:t xml:space="preserve"> отклонено от оплаты </w:t>
      </w:r>
      <w:r w:rsidR="000800AA">
        <w:t xml:space="preserve">41 532 </w:t>
      </w:r>
      <w:r w:rsidR="00826F64">
        <w:t>(</w:t>
      </w:r>
      <w:r w:rsidR="000800AA">
        <w:t>2,9 %) счетов)</w:t>
      </w:r>
      <w:r w:rsidR="0075743E" w:rsidRPr="00F82455">
        <w:t>.</w:t>
      </w:r>
      <w:r w:rsidR="000800AA">
        <w:t xml:space="preserve"> </w:t>
      </w:r>
      <w:r w:rsidR="00540574" w:rsidRPr="00F82455">
        <w:t xml:space="preserve">Реестры счетов стационарной помощи содержали нарушения </w:t>
      </w:r>
      <w:r w:rsidR="00FA1B96" w:rsidRPr="00F82455">
        <w:t xml:space="preserve"> в </w:t>
      </w:r>
      <w:r w:rsidR="00826F64">
        <w:t>24,9</w:t>
      </w:r>
      <w:r w:rsidR="000800AA">
        <w:t xml:space="preserve"> </w:t>
      </w:r>
      <w:r w:rsidR="00FA1B96" w:rsidRPr="00F82455">
        <w:t>%</w:t>
      </w:r>
      <w:r w:rsidR="00826F64">
        <w:t xml:space="preserve"> случаев</w:t>
      </w:r>
      <w:r w:rsidR="00540574" w:rsidRPr="00F82455">
        <w:t>, стационарозамещающей помощи</w:t>
      </w:r>
      <w:r w:rsidR="00FA1B96" w:rsidRPr="00F82455">
        <w:t xml:space="preserve"> </w:t>
      </w:r>
      <w:r w:rsidR="001D107F" w:rsidRPr="00F82455">
        <w:t xml:space="preserve">в </w:t>
      </w:r>
      <w:r w:rsidR="00826F64">
        <w:t xml:space="preserve">22,4 </w:t>
      </w:r>
      <w:r w:rsidR="001D107F" w:rsidRPr="00F82455">
        <w:t>%</w:t>
      </w:r>
      <w:r w:rsidR="00826F64">
        <w:t xml:space="preserve"> случаев</w:t>
      </w:r>
      <w:r w:rsidR="00540574" w:rsidRPr="00F82455">
        <w:t xml:space="preserve">, </w:t>
      </w:r>
      <w:r w:rsidR="001D107F" w:rsidRPr="00F82455">
        <w:t xml:space="preserve"> </w:t>
      </w:r>
      <w:r w:rsidR="000800AA" w:rsidRPr="00F82455">
        <w:t xml:space="preserve">амбулаторной помощи  </w:t>
      </w:r>
      <w:r w:rsidR="000800AA">
        <w:t>в 5,0 %</w:t>
      </w:r>
      <w:r w:rsidR="00826F64">
        <w:t xml:space="preserve"> случаев</w:t>
      </w:r>
      <w:r w:rsidR="000800AA">
        <w:t xml:space="preserve">, </w:t>
      </w:r>
      <w:r w:rsidR="00540574" w:rsidRPr="00F82455">
        <w:t xml:space="preserve">скорой медицинской помощи в </w:t>
      </w:r>
      <w:r w:rsidR="000800AA">
        <w:t>0,</w:t>
      </w:r>
      <w:r w:rsidR="00826F64">
        <w:t>3</w:t>
      </w:r>
      <w:r w:rsidR="000800AA">
        <w:t xml:space="preserve"> %</w:t>
      </w:r>
      <w:r w:rsidR="00826F64">
        <w:t xml:space="preserve"> случаев</w:t>
      </w:r>
      <w:r w:rsidR="00540574" w:rsidRPr="00F82455">
        <w:t xml:space="preserve">. </w:t>
      </w:r>
      <w:r w:rsidR="001D107F" w:rsidRPr="00F82455">
        <w:t xml:space="preserve"> </w:t>
      </w:r>
    </w:p>
    <w:p w:rsidR="000800AA" w:rsidRDefault="000800AA" w:rsidP="00826F64">
      <w:pPr>
        <w:pStyle w:val="20"/>
        <w:spacing w:line="240" w:lineRule="auto"/>
        <w:ind w:firstLine="709"/>
        <w:contextualSpacing/>
        <w:jc w:val="both"/>
      </w:pPr>
      <w:r>
        <w:t xml:space="preserve">По сравнению </w:t>
      </w:r>
      <w:r w:rsidRPr="00F82455">
        <w:t xml:space="preserve"> </w:t>
      </w:r>
      <w:r>
        <w:t xml:space="preserve">с 2022 годом отмечено увеличение </w:t>
      </w:r>
      <w:r w:rsidR="00F075EC">
        <w:t xml:space="preserve">доли </w:t>
      </w:r>
      <w:r>
        <w:t xml:space="preserve"> реестров счетов, содержащих нарушения с 2,9 % до 5,6 %. </w:t>
      </w:r>
      <w:r w:rsidR="00F075EC">
        <w:t xml:space="preserve">Доля </w:t>
      </w:r>
      <w:r>
        <w:t>случаев, содержащих нарушения, стационарной помощи</w:t>
      </w:r>
      <w:r w:rsidR="00653901">
        <w:t xml:space="preserve"> увеличил</w:t>
      </w:r>
      <w:r w:rsidR="00096DA5">
        <w:t xml:space="preserve">ась </w:t>
      </w:r>
      <w:r w:rsidR="00653901">
        <w:t xml:space="preserve"> </w:t>
      </w:r>
      <w:r>
        <w:t xml:space="preserve">с 11,3 % до  </w:t>
      </w:r>
      <w:r w:rsidR="00653901">
        <w:t>24,</w:t>
      </w:r>
      <w:r w:rsidR="00826F64">
        <w:t>9</w:t>
      </w:r>
      <w:r w:rsidR="00653901">
        <w:t xml:space="preserve"> %,  стационарозамещающей помощи с 16,2 % до 22,</w:t>
      </w:r>
      <w:r w:rsidR="00826F64">
        <w:t>4</w:t>
      </w:r>
      <w:r w:rsidR="00653901">
        <w:t xml:space="preserve"> %, амбулатороной помощи с 2,</w:t>
      </w:r>
      <w:r w:rsidR="00826F64">
        <w:t>4</w:t>
      </w:r>
      <w:r w:rsidR="00653901">
        <w:t xml:space="preserve"> % до 5,0 %.</w:t>
      </w:r>
    </w:p>
    <w:p w:rsidR="00826F64" w:rsidRPr="00F82455" w:rsidRDefault="00826F64" w:rsidP="00826F64">
      <w:pPr>
        <w:pStyle w:val="20"/>
        <w:spacing w:line="240" w:lineRule="auto"/>
        <w:ind w:firstLine="709"/>
        <w:contextualSpacing/>
        <w:jc w:val="both"/>
      </w:pPr>
    </w:p>
    <w:p w:rsidR="00302EFD" w:rsidRPr="00F82455" w:rsidRDefault="008600AC" w:rsidP="00302EFD">
      <w:pPr>
        <w:pStyle w:val="20"/>
        <w:spacing w:line="240" w:lineRule="auto"/>
        <w:jc w:val="center"/>
      </w:pPr>
      <w:r w:rsidRPr="00F82455">
        <w:t>Структура нарушений, выявленных</w:t>
      </w:r>
      <w:r w:rsidR="002A4A46" w:rsidRPr="00F82455">
        <w:t xml:space="preserve"> по результатам </w:t>
      </w:r>
      <w:r w:rsidRPr="00F82455">
        <w:t xml:space="preserve"> МЭК </w:t>
      </w:r>
      <w:r w:rsidR="002A4A46" w:rsidRPr="00F82455">
        <w:t>реестров счетов</w:t>
      </w:r>
      <w:r w:rsidR="00D2568E">
        <w:t xml:space="preserve">, </w:t>
      </w:r>
      <w:r w:rsidRPr="00F82455">
        <w:t>в 20</w:t>
      </w:r>
      <w:r w:rsidR="00C3655F" w:rsidRPr="00F82455">
        <w:t>2</w:t>
      </w:r>
      <w:r w:rsidR="00540574" w:rsidRPr="00F82455">
        <w:t>2</w:t>
      </w:r>
      <w:r w:rsidR="00653901">
        <w:t>-23гг.</w:t>
      </w:r>
    </w:p>
    <w:p w:rsidR="008600AC" w:rsidRDefault="008600AC" w:rsidP="00302EFD">
      <w:pPr>
        <w:pStyle w:val="20"/>
        <w:spacing w:line="240" w:lineRule="auto"/>
        <w:jc w:val="right"/>
      </w:pPr>
      <w:r w:rsidRPr="00F82455">
        <w:t xml:space="preserve">Таблица № </w:t>
      </w:r>
      <w:r w:rsidR="00540574" w:rsidRPr="00F82455">
        <w:t>2</w:t>
      </w:r>
    </w:p>
    <w:tbl>
      <w:tblPr>
        <w:tblW w:w="9624" w:type="dxa"/>
        <w:tblInd w:w="95" w:type="dxa"/>
        <w:tblLayout w:type="fixed"/>
        <w:tblLook w:val="04A0"/>
      </w:tblPr>
      <w:tblGrid>
        <w:gridCol w:w="3557"/>
        <w:gridCol w:w="1134"/>
        <w:gridCol w:w="949"/>
        <w:gridCol w:w="1177"/>
        <w:gridCol w:w="876"/>
        <w:gridCol w:w="953"/>
        <w:gridCol w:w="978"/>
      </w:tblGrid>
      <w:tr w:rsidR="00C75B9D" w:rsidRPr="00C75B9D" w:rsidTr="00D2568E">
        <w:trPr>
          <w:trHeight w:val="735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826F64" w:rsidP="00C75B9D">
            <w:pPr>
              <w:jc w:val="center"/>
            </w:pPr>
            <w:r>
              <w:t>Д</w:t>
            </w:r>
            <w:r w:rsidR="00C75B9D" w:rsidRPr="00C75B9D">
              <w:t>ефекты оформления реестров счетов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826F64" w:rsidP="00C75B9D">
            <w:pPr>
              <w:jc w:val="center"/>
            </w:pPr>
            <w:r>
              <w:t>К</w:t>
            </w:r>
            <w:r w:rsidR="00C75B9D" w:rsidRPr="00C75B9D">
              <w:t>оличество выявленных нарушений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826F64" w:rsidP="00C75B9D">
            <w:pPr>
              <w:jc w:val="center"/>
            </w:pPr>
            <w:r>
              <w:t>У</w:t>
            </w:r>
            <w:r w:rsidR="00C75B9D" w:rsidRPr="00C75B9D">
              <w:t>дельный вес нарушений, %</w:t>
            </w:r>
          </w:p>
        </w:tc>
      </w:tr>
      <w:tr w:rsidR="00C75B9D" w:rsidRPr="00C75B9D" w:rsidTr="00D2568E">
        <w:trPr>
          <w:trHeight w:val="885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B9D" w:rsidRPr="00C75B9D" w:rsidRDefault="00C75B9D" w:rsidP="00C75B9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r w:rsidRPr="00C75B9D">
              <w:t>2023 год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2022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динамика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r w:rsidRPr="00C75B9D">
              <w:t>2023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2022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динамика</w:t>
            </w:r>
          </w:p>
        </w:tc>
      </w:tr>
      <w:tr w:rsidR="00C75B9D" w:rsidRPr="00C75B9D" w:rsidTr="00D2568E">
        <w:trPr>
          <w:trHeight w:val="8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9D" w:rsidRPr="00C75B9D" w:rsidRDefault="00C75B9D" w:rsidP="00826F64">
            <w:pPr>
              <w:jc w:val="both"/>
            </w:pPr>
            <w:r w:rsidRPr="00C75B9D">
              <w:t>связанные с оформлением и предъявлением на оплату счетов и реестров счето</w:t>
            </w:r>
            <w:r w:rsidR="00D2568E"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 xml:space="preserve">  9 113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11297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-  2 184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10,15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27,20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-17,05</w:t>
            </w:r>
          </w:p>
        </w:tc>
      </w:tr>
      <w:tr w:rsidR="00C75B9D" w:rsidRPr="00C75B9D" w:rsidTr="00D2568E">
        <w:trPr>
          <w:trHeight w:val="8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9D" w:rsidRPr="00C75B9D" w:rsidRDefault="00C75B9D" w:rsidP="00826F64">
            <w:pPr>
              <w:jc w:val="both"/>
            </w:pPr>
            <w:r w:rsidRPr="00C75B9D">
              <w:lastRenderedPageBreak/>
              <w:t>связанные с введением в реестр счетов недостоверных персональных данных застрахованного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 xml:space="preserve">  1 278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 xml:space="preserve">  1 278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1,42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1,42</w:t>
            </w:r>
          </w:p>
        </w:tc>
      </w:tr>
      <w:tr w:rsidR="00C75B9D" w:rsidRPr="00C75B9D" w:rsidTr="00D2568E">
        <w:trPr>
          <w:trHeight w:val="8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9D" w:rsidRPr="00C75B9D" w:rsidRDefault="00C75B9D" w:rsidP="00826F64">
            <w:pPr>
              <w:jc w:val="both"/>
            </w:pPr>
            <w:r w:rsidRPr="00C75B9D">
              <w:t>связанные с включением в реестр счетов медицинской помощи, не входящей в программу 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 xml:space="preserve">  66 620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217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 xml:space="preserve">  66 403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74,21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0,52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73,69</w:t>
            </w:r>
          </w:p>
        </w:tc>
      </w:tr>
      <w:tr w:rsidR="00C75B9D" w:rsidRPr="00C75B9D" w:rsidTr="00D2568E">
        <w:trPr>
          <w:trHeight w:val="8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9D" w:rsidRPr="00C75B9D" w:rsidRDefault="00C75B9D" w:rsidP="00826F64">
            <w:pPr>
              <w:jc w:val="both"/>
            </w:pPr>
            <w:r w:rsidRPr="00C75B9D">
              <w:t>связанные с необоснованным применением тарифа на оплату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 xml:space="preserve">   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2007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-  2 006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4,83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-4,83</w:t>
            </w:r>
          </w:p>
        </w:tc>
      </w:tr>
      <w:tr w:rsidR="00C75B9D" w:rsidRPr="00C75B9D" w:rsidTr="00D2568E">
        <w:trPr>
          <w:trHeight w:val="8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9D" w:rsidRPr="00C75B9D" w:rsidRDefault="00C75B9D" w:rsidP="00826F64">
            <w:pPr>
              <w:jc w:val="both"/>
            </w:pPr>
            <w:r w:rsidRPr="00C75B9D">
              <w:t>связанные с включением в реестр счетов нелицензированных видов медицинской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 xml:space="preserve">  9 949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992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 xml:space="preserve">  8 957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11,08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2,39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8,69</w:t>
            </w:r>
          </w:p>
        </w:tc>
      </w:tr>
      <w:tr w:rsidR="00C75B9D" w:rsidRPr="00C75B9D" w:rsidTr="00D2568E">
        <w:trPr>
          <w:trHeight w:val="8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9D" w:rsidRPr="00C75B9D" w:rsidRDefault="00C75B9D" w:rsidP="00826F64">
            <w:pPr>
              <w:jc w:val="both"/>
            </w:pPr>
            <w:r w:rsidRPr="00C75B9D">
              <w:t>связанные с повторным включением в реестр счетов случаев оказания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 xml:space="preserve">  2 805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6134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-  3 329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3,12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14,77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-11,64</w:t>
            </w:r>
          </w:p>
        </w:tc>
      </w:tr>
      <w:tr w:rsidR="00C75B9D" w:rsidRPr="00C75B9D" w:rsidTr="00D2568E">
        <w:trPr>
          <w:trHeight w:val="885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D" w:rsidRPr="00C75B9D" w:rsidRDefault="00C9744F" w:rsidP="00826F64">
            <w:pPr>
              <w:jc w:val="both"/>
            </w:pPr>
            <w:r w:rsidRPr="0058569C">
              <w:t>прочие нарушения</w:t>
            </w:r>
            <w:r w:rsidRPr="00F82455">
              <w:t xml:space="preserve"> </w:t>
            </w:r>
            <w:r>
              <w:t xml:space="preserve">в соответствии с </w:t>
            </w:r>
            <w:r w:rsidRPr="00F82455">
              <w:t>Переч</w:t>
            </w:r>
            <w:r>
              <w:t xml:space="preserve">нем </w:t>
            </w:r>
            <w:r w:rsidRPr="00F82455">
              <w:t xml:space="preserve"> оснований для </w:t>
            </w:r>
            <w:r>
              <w:t xml:space="preserve">отказа в </w:t>
            </w:r>
            <w:r w:rsidRPr="00F82455">
              <w:t>оплат</w:t>
            </w:r>
            <w:r>
              <w:t>е</w:t>
            </w:r>
            <w:r w:rsidRPr="00F82455">
              <w:t xml:space="preserve">  медицинской помощи</w:t>
            </w:r>
            <w:r w:rsidRPr="00C75B9D">
              <w:t xml:space="preserve"> </w:t>
            </w:r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 xml:space="preserve">   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20885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-  20 884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50,29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-50,29</w:t>
            </w:r>
          </w:p>
        </w:tc>
      </w:tr>
      <w:tr w:rsidR="00C75B9D" w:rsidRPr="00C75B9D" w:rsidTr="002C3868">
        <w:trPr>
          <w:trHeight w:val="32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826F64">
            <w:pPr>
              <w:jc w:val="both"/>
            </w:pPr>
            <w:r w:rsidRPr="00C75B9D"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D2568E">
            <w:pPr>
              <w:jc w:val="center"/>
            </w:pPr>
            <w:r w:rsidRPr="00C75B9D">
              <w:t xml:space="preserve">  89</w:t>
            </w:r>
            <w:r w:rsidR="00D2568E">
              <w:t xml:space="preserve"> </w:t>
            </w:r>
            <w:r w:rsidRPr="00C75B9D">
              <w:t>767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41</w:t>
            </w:r>
            <w:r w:rsidR="00D2568E">
              <w:t xml:space="preserve"> </w:t>
            </w:r>
            <w:r w:rsidRPr="00C75B9D">
              <w:t>532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 xml:space="preserve">  48 235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100,00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9D" w:rsidRPr="00C75B9D" w:rsidRDefault="00C75B9D" w:rsidP="00C75B9D">
            <w:pPr>
              <w:jc w:val="center"/>
            </w:pPr>
            <w:r w:rsidRPr="00C75B9D">
              <w:t> </w:t>
            </w:r>
          </w:p>
        </w:tc>
      </w:tr>
    </w:tbl>
    <w:p w:rsidR="00653901" w:rsidRDefault="00653901" w:rsidP="00302EFD">
      <w:pPr>
        <w:pStyle w:val="20"/>
        <w:spacing w:line="240" w:lineRule="auto"/>
        <w:jc w:val="right"/>
      </w:pPr>
    </w:p>
    <w:p w:rsidR="00D2568E" w:rsidRPr="00826F64" w:rsidRDefault="00D2568E" w:rsidP="00860979">
      <w:pPr>
        <w:ind w:firstLine="708"/>
        <w:jc w:val="both"/>
      </w:pPr>
      <w:r w:rsidRPr="00826F64">
        <w:t xml:space="preserve">По сравнению с 2022 годом структура выявленных нарушений изменилась. </w:t>
      </w:r>
      <w:r w:rsidR="00C9744F" w:rsidRPr="00826F64">
        <w:t>В отчетном периоде о</w:t>
      </w:r>
      <w:r w:rsidRPr="00826F64">
        <w:t xml:space="preserve">сновной удельный вес составили нарушения, связанные с </w:t>
      </w:r>
      <w:r w:rsidRPr="00C75B9D">
        <w:t xml:space="preserve">включением в реестр счетов медицинской помощи, не входящей в программу </w:t>
      </w:r>
      <w:r w:rsidRPr="00826F64">
        <w:t xml:space="preserve">обязательного медицинского страхования (программа </w:t>
      </w:r>
      <w:r w:rsidRPr="00C75B9D">
        <w:t>ОМС</w:t>
      </w:r>
      <w:r w:rsidRPr="00826F64">
        <w:t xml:space="preserve">) – 74,21 %, </w:t>
      </w:r>
      <w:r w:rsidR="00C9744F" w:rsidRPr="00826F64">
        <w:t xml:space="preserve">и </w:t>
      </w:r>
      <w:r w:rsidRPr="00826F64">
        <w:t xml:space="preserve"> </w:t>
      </w:r>
      <w:r w:rsidR="00C9744F" w:rsidRPr="00C75B9D">
        <w:t>включением в реестр счетов нелицензированных видов медицинской деятельности</w:t>
      </w:r>
      <w:r w:rsidR="00C9744F" w:rsidRPr="00826F64">
        <w:t xml:space="preserve"> – 11,08 %. В 2022 году пре</w:t>
      </w:r>
      <w:r w:rsidR="00860979" w:rsidRPr="00826F64">
        <w:t xml:space="preserve">валировали </w:t>
      </w:r>
      <w:r w:rsidR="00C9744F" w:rsidRPr="00826F64">
        <w:t>нарушения, связанные с прочими нарушениями, входящими в Перечень оснований для отказа в оплат</w:t>
      </w:r>
      <w:r w:rsidR="00096DA5">
        <w:t>е медицинской помощи, - 50,29 %</w:t>
      </w:r>
      <w:r w:rsidR="00C9744F" w:rsidRPr="00826F64">
        <w:t xml:space="preserve"> и  </w:t>
      </w:r>
      <w:r w:rsidR="00C9744F" w:rsidRPr="00C75B9D">
        <w:t xml:space="preserve"> оформлением и предъявлением на оплату счетов и реестров счето</w:t>
      </w:r>
      <w:r w:rsidR="00C9744F" w:rsidRPr="00826F64">
        <w:t xml:space="preserve">в – 27,20%.  </w:t>
      </w:r>
    </w:p>
    <w:p w:rsidR="00D2568E" w:rsidRDefault="00D2568E" w:rsidP="002A4A46">
      <w:pPr>
        <w:pStyle w:val="20"/>
        <w:spacing w:line="240" w:lineRule="auto"/>
        <w:ind w:firstLine="708"/>
        <w:jc w:val="both"/>
      </w:pPr>
    </w:p>
    <w:p w:rsidR="008600AC" w:rsidRPr="00F82455" w:rsidRDefault="008600AC" w:rsidP="008600AC">
      <w:pPr>
        <w:ind w:left="67" w:firstLine="720"/>
        <w:jc w:val="center"/>
      </w:pPr>
      <w:r w:rsidRPr="00F82455">
        <w:t>Результаты медико-экономической экспертизы</w:t>
      </w:r>
    </w:p>
    <w:p w:rsidR="008600AC" w:rsidRPr="00F82455" w:rsidRDefault="008600AC" w:rsidP="008600AC">
      <w:pPr>
        <w:ind w:left="67" w:firstLine="641"/>
        <w:jc w:val="both"/>
      </w:pPr>
    </w:p>
    <w:p w:rsidR="00963CF6" w:rsidRDefault="004757FC" w:rsidP="00963CF6">
      <w:pPr>
        <w:ind w:firstLine="709"/>
        <w:contextualSpacing/>
        <w:jc w:val="both"/>
      </w:pPr>
      <w:r w:rsidRPr="00F82455">
        <w:t>По итогам 202</w:t>
      </w:r>
      <w:r w:rsidR="00CF55F8">
        <w:t>3</w:t>
      </w:r>
      <w:r w:rsidRPr="00F82455">
        <w:t xml:space="preserve"> года </w:t>
      </w:r>
      <w:r w:rsidR="008110C0" w:rsidRPr="00F82455">
        <w:t xml:space="preserve">ТФОМС РК и </w:t>
      </w:r>
      <w:r w:rsidRPr="00F82455">
        <w:t xml:space="preserve">СМО проведено МЭЭ </w:t>
      </w:r>
      <w:r w:rsidR="005B5C82" w:rsidRPr="00F82455">
        <w:t xml:space="preserve"> </w:t>
      </w:r>
      <w:r w:rsidR="00DC717E">
        <w:t xml:space="preserve">31 717 </w:t>
      </w:r>
      <w:r w:rsidR="008600AC" w:rsidRPr="00F82455">
        <w:t xml:space="preserve">страховых случаев, </w:t>
      </w:r>
      <w:r w:rsidR="00AF5139" w:rsidRPr="00F82455">
        <w:t xml:space="preserve">что на </w:t>
      </w:r>
      <w:r w:rsidR="00DC717E">
        <w:t xml:space="preserve">5 925 </w:t>
      </w:r>
      <w:r w:rsidR="00963CF6">
        <w:t xml:space="preserve">(15,7 %) </w:t>
      </w:r>
      <w:r w:rsidR="00AF5139" w:rsidRPr="00F82455">
        <w:t xml:space="preserve">экспертиз </w:t>
      </w:r>
      <w:r w:rsidR="00DC717E">
        <w:t>меньше</w:t>
      </w:r>
      <w:r w:rsidR="00AF5139" w:rsidRPr="00F82455">
        <w:t>, чем в 202</w:t>
      </w:r>
      <w:r w:rsidR="00DC717E">
        <w:t>2</w:t>
      </w:r>
      <w:r w:rsidR="00AF5139" w:rsidRPr="00F82455">
        <w:t xml:space="preserve"> году </w:t>
      </w:r>
      <w:r w:rsidR="00DC717E">
        <w:t xml:space="preserve">(в </w:t>
      </w:r>
      <w:r w:rsidR="00AF5139" w:rsidRPr="00F82455">
        <w:t>202</w:t>
      </w:r>
      <w:r w:rsidR="00DC717E">
        <w:t xml:space="preserve">2 </w:t>
      </w:r>
      <w:r w:rsidR="00AF5139" w:rsidRPr="00F82455">
        <w:t>г</w:t>
      </w:r>
      <w:r w:rsidR="00DC717E">
        <w:t xml:space="preserve">оду </w:t>
      </w:r>
      <w:r w:rsidR="00963CF6">
        <w:t xml:space="preserve">проведено МЭЭ </w:t>
      </w:r>
      <w:r w:rsidR="00DC717E">
        <w:t>37</w:t>
      </w:r>
      <w:r w:rsidR="00963CF6">
        <w:t> </w:t>
      </w:r>
      <w:r w:rsidR="00DC717E">
        <w:t>642</w:t>
      </w:r>
      <w:r w:rsidR="00963CF6">
        <w:t xml:space="preserve"> случаев</w:t>
      </w:r>
      <w:r w:rsidR="00AF5139" w:rsidRPr="00F82455">
        <w:t>)</w:t>
      </w:r>
      <w:r w:rsidR="009E059C" w:rsidRPr="00F82455">
        <w:t>.</w:t>
      </w:r>
      <w:r w:rsidR="00AF5139" w:rsidRPr="00F82455">
        <w:t xml:space="preserve"> </w:t>
      </w:r>
      <w:r w:rsidR="00095227" w:rsidRPr="00F82455">
        <w:t xml:space="preserve">  СМО проведено 3</w:t>
      </w:r>
      <w:r w:rsidR="0045698E">
        <w:t xml:space="preserve">1 263 </w:t>
      </w:r>
      <w:r w:rsidR="00963CF6">
        <w:t>(</w:t>
      </w:r>
      <w:r w:rsidR="00095227" w:rsidRPr="00F82455">
        <w:t>98,</w:t>
      </w:r>
      <w:r w:rsidR="0045698E">
        <w:t xml:space="preserve">6 </w:t>
      </w:r>
      <w:r w:rsidR="00095227" w:rsidRPr="00F82455">
        <w:t xml:space="preserve"> %</w:t>
      </w:r>
      <w:r w:rsidR="00963CF6">
        <w:t>) э</w:t>
      </w:r>
      <w:r w:rsidR="00963CF6" w:rsidRPr="00F82455">
        <w:t>кспертиз</w:t>
      </w:r>
      <w:r w:rsidR="00095227" w:rsidRPr="00F82455">
        <w:t>, ТФОМС РК 4</w:t>
      </w:r>
      <w:r w:rsidR="0045698E">
        <w:t xml:space="preserve">54 </w:t>
      </w:r>
      <w:r w:rsidR="00963CF6">
        <w:t>(</w:t>
      </w:r>
      <w:r w:rsidR="00095227" w:rsidRPr="00F82455">
        <w:t>1,</w:t>
      </w:r>
      <w:r w:rsidR="0045698E">
        <w:t>4</w:t>
      </w:r>
      <w:r w:rsidR="00095227" w:rsidRPr="00F82455">
        <w:t xml:space="preserve"> %</w:t>
      </w:r>
      <w:r w:rsidR="00963CF6">
        <w:t>)</w:t>
      </w:r>
      <w:r w:rsidR="00095227" w:rsidRPr="00F82455">
        <w:t xml:space="preserve">. </w:t>
      </w:r>
    </w:p>
    <w:p w:rsidR="00F32E9C" w:rsidRDefault="00095227" w:rsidP="00963CF6">
      <w:pPr>
        <w:ind w:firstLine="709"/>
        <w:contextualSpacing/>
        <w:jc w:val="both"/>
      </w:pPr>
      <w:r w:rsidRPr="00F82455">
        <w:t>В</w:t>
      </w:r>
      <w:r w:rsidR="00AF5139" w:rsidRPr="00F82455">
        <w:t xml:space="preserve">неплановые  МЭЭ </w:t>
      </w:r>
      <w:r w:rsidR="00A21EEE" w:rsidRPr="00F82455">
        <w:t xml:space="preserve">составили </w:t>
      </w:r>
      <w:r w:rsidR="008558D9" w:rsidRPr="00F82455">
        <w:t xml:space="preserve"> </w:t>
      </w:r>
      <w:r w:rsidR="0045698E">
        <w:t xml:space="preserve">29 049 </w:t>
      </w:r>
      <w:r w:rsidR="00AF5139" w:rsidRPr="00F82455">
        <w:t>(</w:t>
      </w:r>
      <w:r w:rsidR="008558D9" w:rsidRPr="00F82455">
        <w:t>9</w:t>
      </w:r>
      <w:r w:rsidR="0045698E">
        <w:t xml:space="preserve">1,6 </w:t>
      </w:r>
      <w:r w:rsidR="00AF5139" w:rsidRPr="00F82455">
        <w:t xml:space="preserve">%) страховых случаев, что на </w:t>
      </w:r>
      <w:r w:rsidR="008558D9" w:rsidRPr="00F82455">
        <w:t xml:space="preserve"> </w:t>
      </w:r>
      <w:r w:rsidR="0045698E">
        <w:t xml:space="preserve">5 592 </w:t>
      </w:r>
      <w:r w:rsidR="00AF5139" w:rsidRPr="00F82455">
        <w:t xml:space="preserve"> </w:t>
      </w:r>
      <w:r w:rsidR="008558D9" w:rsidRPr="00F82455">
        <w:t>(</w:t>
      </w:r>
      <w:r w:rsidR="0045698E">
        <w:t xml:space="preserve">16,1 </w:t>
      </w:r>
      <w:r w:rsidR="00A21EEE" w:rsidRPr="00F82455">
        <w:t xml:space="preserve"> %)  </w:t>
      </w:r>
      <w:r w:rsidR="00AF5139" w:rsidRPr="00F82455">
        <w:t xml:space="preserve">случаев </w:t>
      </w:r>
      <w:r w:rsidR="0045698E">
        <w:t>мень</w:t>
      </w:r>
      <w:r w:rsidR="00AF5139" w:rsidRPr="00F82455">
        <w:t>ше, чем в 202</w:t>
      </w:r>
      <w:r w:rsidR="0045698E">
        <w:t>2</w:t>
      </w:r>
      <w:r w:rsidR="00AF5139" w:rsidRPr="00F82455">
        <w:t xml:space="preserve"> году  (в 202</w:t>
      </w:r>
      <w:r w:rsidR="0045698E">
        <w:t>2</w:t>
      </w:r>
      <w:r w:rsidR="00AF5139" w:rsidRPr="00F82455">
        <w:t xml:space="preserve"> году</w:t>
      </w:r>
      <w:r w:rsidR="00963CF6" w:rsidRPr="00963CF6">
        <w:t xml:space="preserve"> </w:t>
      </w:r>
      <w:r w:rsidR="00963CF6">
        <w:t>в</w:t>
      </w:r>
      <w:r w:rsidR="00963CF6" w:rsidRPr="00F82455">
        <w:t>неплановые  МЭЭ</w:t>
      </w:r>
      <w:r w:rsidR="00AF5139" w:rsidRPr="00F82455">
        <w:t xml:space="preserve"> </w:t>
      </w:r>
      <w:r w:rsidR="00963CF6">
        <w:t xml:space="preserve">составили </w:t>
      </w:r>
      <w:r w:rsidR="0045698E">
        <w:t xml:space="preserve"> 34</w:t>
      </w:r>
      <w:r w:rsidR="00963CF6">
        <w:t> </w:t>
      </w:r>
      <w:r w:rsidR="0045698E">
        <w:t>641</w:t>
      </w:r>
      <w:r w:rsidR="00963CF6">
        <w:t xml:space="preserve"> (</w:t>
      </w:r>
      <w:r w:rsidR="0045698E">
        <w:t xml:space="preserve">92,0 </w:t>
      </w:r>
      <w:r w:rsidR="008558D9" w:rsidRPr="00F82455">
        <w:t xml:space="preserve"> </w:t>
      </w:r>
      <w:r w:rsidR="00144311" w:rsidRPr="00F82455">
        <w:t>%</w:t>
      </w:r>
      <w:r w:rsidR="00AF5139" w:rsidRPr="00F82455">
        <w:t>)</w:t>
      </w:r>
      <w:r w:rsidR="00963CF6">
        <w:t>)</w:t>
      </w:r>
      <w:r w:rsidR="00AF5139" w:rsidRPr="00F82455">
        <w:t xml:space="preserve">.  </w:t>
      </w:r>
    </w:p>
    <w:p w:rsidR="008D15E8" w:rsidRDefault="00F32E9C" w:rsidP="00963CF6">
      <w:pPr>
        <w:ind w:firstLine="709"/>
        <w:contextualSpacing/>
        <w:jc w:val="both"/>
      </w:pPr>
      <w:r w:rsidRPr="00F82455">
        <w:t>Повод</w:t>
      </w:r>
      <w:r w:rsidR="00096DA5">
        <w:t xml:space="preserve">ом </w:t>
      </w:r>
      <w:r w:rsidRPr="00F82455">
        <w:t xml:space="preserve">для проведения </w:t>
      </w:r>
      <w:r w:rsidR="008D15E8">
        <w:t xml:space="preserve">внеплановых тематических МЭЭ в 5 951 (20,5 % от общего числа внеплановых МЭЭ) случаях послужила </w:t>
      </w:r>
      <w:r w:rsidR="008D15E8" w:rsidRPr="00F32E9C">
        <w:t xml:space="preserve"> несвоевременн</w:t>
      </w:r>
      <w:r w:rsidR="008D15E8">
        <w:t xml:space="preserve">ая </w:t>
      </w:r>
      <w:r w:rsidR="008D15E8" w:rsidRPr="00F32E9C">
        <w:t xml:space="preserve"> постановк</w:t>
      </w:r>
      <w:r w:rsidR="008D15E8">
        <w:t xml:space="preserve">а </w:t>
      </w:r>
      <w:r w:rsidR="008D15E8" w:rsidRPr="00F32E9C">
        <w:t xml:space="preserve"> на диспансерное наблюдение застрахованных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</w:t>
      </w:r>
      <w:r w:rsidR="00096DA5">
        <w:t>; в 5 724 (</w:t>
      </w:r>
      <w:r w:rsidR="008D15E8">
        <w:t xml:space="preserve">19,7 % от общего числа внеплановых МЭЭ) случаях - </w:t>
      </w:r>
      <w:r w:rsidR="008D15E8" w:rsidRPr="009E5034">
        <w:t>повторн</w:t>
      </w:r>
      <w:r w:rsidR="008D15E8">
        <w:t>о</w:t>
      </w:r>
      <w:r w:rsidR="008D15E8" w:rsidRPr="009E5034">
        <w:t>е обращения по поводу одного и того же заболевания</w:t>
      </w:r>
      <w:r w:rsidR="00096DA5">
        <w:t>;  в 898 (</w:t>
      </w:r>
      <w:r w:rsidR="008D15E8">
        <w:t xml:space="preserve">3,1 % от общего числа внеплановых МЭЭ) </w:t>
      </w:r>
      <w:r w:rsidR="00DD0AC1">
        <w:t xml:space="preserve">случаях </w:t>
      </w:r>
      <w:r w:rsidR="008D15E8">
        <w:t xml:space="preserve">- </w:t>
      </w:r>
      <w:r w:rsidR="008D15E8" w:rsidRPr="008D15E8">
        <w:t>летальный исход вне медицинской организации до приезда бригады скорой медицинской помощи</w:t>
      </w:r>
      <w:r w:rsidR="00DD0AC1">
        <w:t xml:space="preserve">; </w:t>
      </w:r>
      <w:r w:rsidR="008D15E8">
        <w:t xml:space="preserve">в  </w:t>
      </w:r>
      <w:r w:rsidR="00DD0AC1">
        <w:t xml:space="preserve">843 </w:t>
      </w:r>
      <w:r w:rsidR="00096DA5">
        <w:t>(</w:t>
      </w:r>
      <w:r w:rsidR="008D15E8">
        <w:t xml:space="preserve">в </w:t>
      </w:r>
      <w:r w:rsidR="00DD0AC1">
        <w:t xml:space="preserve">2,9 </w:t>
      </w:r>
      <w:r w:rsidR="008D15E8">
        <w:t xml:space="preserve"> % от общего числа внеплановых МЭЭ) случаях - </w:t>
      </w:r>
      <w:r w:rsidR="008D15E8" w:rsidRPr="00F32E9C">
        <w:t xml:space="preserve">оказание </w:t>
      </w:r>
      <w:r w:rsidR="008D15E8" w:rsidRPr="00F32E9C">
        <w:lastRenderedPageBreak/>
        <w:t>медицинской помощи по профилю "онкология" с применением противоопухолевой терапии</w:t>
      </w:r>
      <w:r w:rsidR="008D15E8">
        <w:t xml:space="preserve">; в </w:t>
      </w:r>
      <w:r w:rsidR="00DD0AC1">
        <w:t xml:space="preserve">19 </w:t>
      </w:r>
      <w:r w:rsidR="008D15E8">
        <w:t>(или 0,</w:t>
      </w:r>
      <w:r w:rsidR="00DD0AC1">
        <w:t>06</w:t>
      </w:r>
      <w:r w:rsidR="008D15E8">
        <w:t xml:space="preserve"> % от общего числа внеплановых МЭЭ) </w:t>
      </w:r>
      <w:r w:rsidR="00DD0AC1">
        <w:t xml:space="preserve">случаях - </w:t>
      </w:r>
      <w:r w:rsidR="008D15E8" w:rsidRPr="009E5034">
        <w:t>получение жалобы от застрахованного лица или его представителя</w:t>
      </w:r>
      <w:r w:rsidR="008D15E8">
        <w:t>.</w:t>
      </w:r>
    </w:p>
    <w:p w:rsidR="008D15E8" w:rsidRPr="00963CF6" w:rsidRDefault="008D15E8" w:rsidP="008D15E8">
      <w:pPr>
        <w:ind w:firstLine="708"/>
        <w:jc w:val="both"/>
      </w:pPr>
      <w:r w:rsidRPr="00963CF6">
        <w:t>В 2022 году основными поводами  для проведения внеплановых</w:t>
      </w:r>
      <w:r w:rsidR="009F09D7">
        <w:t xml:space="preserve">  экспертиз были в 13 915 (</w:t>
      </w:r>
      <w:r w:rsidRPr="00963CF6">
        <w:t>40,2 % от общего числа внеплановых МЭЭ) случаях несвоевременная  постановка  на диспансерное наблюдение застрахованных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</w:t>
      </w:r>
      <w:r w:rsidR="009F09D7">
        <w:t>ерное наблюдение; в 7060 (</w:t>
      </w:r>
      <w:r w:rsidRPr="00963CF6">
        <w:t>20,4   % от общего числа внеплановых МЭЭ) случаях - повторное обращения по поводу одного и того ж</w:t>
      </w:r>
      <w:r w:rsidR="009F09D7">
        <w:t>е заболевания; в  1 171  (</w:t>
      </w:r>
      <w:r w:rsidRPr="00963CF6">
        <w:t>3,4  % от общего числа внеплановых МЭЭ) случаях - оказание медицинской помощи по профилю "онкология" с применением против</w:t>
      </w:r>
      <w:r w:rsidR="009F09D7">
        <w:t>оопухолевой терапии; в 47  (</w:t>
      </w:r>
      <w:r w:rsidRPr="00963CF6">
        <w:t xml:space="preserve">0,1 % от общего числа внеплановых МЭЭ) получением жалобы от застрахованного лица или его представителя.  </w:t>
      </w:r>
    </w:p>
    <w:p w:rsidR="00A21EEE" w:rsidRPr="00963CF6" w:rsidRDefault="00A21EEE" w:rsidP="004C4AD1">
      <w:pPr>
        <w:ind w:firstLine="708"/>
        <w:jc w:val="both"/>
      </w:pPr>
      <w:r w:rsidRPr="00963CF6">
        <w:t xml:space="preserve">Проведены МЭЭ </w:t>
      </w:r>
      <w:r w:rsidR="004C4AD1" w:rsidRPr="00963CF6">
        <w:t xml:space="preserve">23 632 </w:t>
      </w:r>
      <w:r w:rsidRPr="00963CF6">
        <w:t>(или 7</w:t>
      </w:r>
      <w:r w:rsidR="004C4AD1" w:rsidRPr="00963CF6">
        <w:t>4,5</w:t>
      </w:r>
      <w:r w:rsidR="00590BA2" w:rsidRPr="00963CF6">
        <w:t xml:space="preserve"> </w:t>
      </w:r>
      <w:r w:rsidRPr="00963CF6">
        <w:t>% от общего числа МЭЭ)  случа</w:t>
      </w:r>
      <w:r w:rsidR="009F09D7">
        <w:t>я</w:t>
      </w:r>
      <w:r w:rsidRPr="00963CF6">
        <w:t xml:space="preserve"> оказания амбулаторной помощи, </w:t>
      </w:r>
      <w:r w:rsidR="00590BA2" w:rsidRPr="00963CF6">
        <w:t xml:space="preserve"> </w:t>
      </w:r>
      <w:r w:rsidR="004C4AD1" w:rsidRPr="00963CF6">
        <w:t>3</w:t>
      </w:r>
      <w:r w:rsidR="00963CF6">
        <w:t xml:space="preserve"> </w:t>
      </w:r>
      <w:r w:rsidR="004C4AD1" w:rsidRPr="00963CF6">
        <w:t xml:space="preserve">807 </w:t>
      </w:r>
      <w:r w:rsidRPr="00963CF6">
        <w:t>(или 1</w:t>
      </w:r>
      <w:r w:rsidR="004C4AD1" w:rsidRPr="00963CF6">
        <w:t>2,0</w:t>
      </w:r>
      <w:r w:rsidRPr="00963CF6">
        <w:t xml:space="preserve"> % от общего числа</w:t>
      </w:r>
      <w:r w:rsidR="00963CF6">
        <w:t xml:space="preserve"> МЭЭ</w:t>
      </w:r>
      <w:r w:rsidRPr="00963CF6">
        <w:t xml:space="preserve">) случаев стационарной помощи, </w:t>
      </w:r>
      <w:r w:rsidR="00590BA2" w:rsidRPr="00963CF6">
        <w:t xml:space="preserve"> 2</w:t>
      </w:r>
      <w:r w:rsidR="00963CF6">
        <w:t xml:space="preserve"> </w:t>
      </w:r>
      <w:r w:rsidR="004C4AD1" w:rsidRPr="00963CF6">
        <w:t>207</w:t>
      </w:r>
      <w:r w:rsidR="00590BA2" w:rsidRPr="00963CF6">
        <w:t xml:space="preserve"> </w:t>
      </w:r>
      <w:r w:rsidRPr="00963CF6">
        <w:t xml:space="preserve"> (или  </w:t>
      </w:r>
      <w:r w:rsidR="004C4AD1" w:rsidRPr="00963CF6">
        <w:t>7,0</w:t>
      </w:r>
      <w:r w:rsidR="00590BA2" w:rsidRPr="00963CF6">
        <w:t xml:space="preserve"> </w:t>
      </w:r>
      <w:r w:rsidRPr="00963CF6">
        <w:t>% от общего числа</w:t>
      </w:r>
      <w:r w:rsidR="00963CF6">
        <w:t xml:space="preserve"> МЭЭ</w:t>
      </w:r>
      <w:r w:rsidRPr="00963CF6">
        <w:t>)  случаев скорой медицинской помощи, и</w:t>
      </w:r>
      <w:r w:rsidR="004C4AD1" w:rsidRPr="00963CF6">
        <w:t xml:space="preserve"> 2</w:t>
      </w:r>
      <w:r w:rsidR="00963CF6">
        <w:t xml:space="preserve"> </w:t>
      </w:r>
      <w:r w:rsidR="004C4AD1" w:rsidRPr="00963CF6">
        <w:t>071</w:t>
      </w:r>
      <w:r w:rsidRPr="00963CF6">
        <w:t xml:space="preserve">  (или  </w:t>
      </w:r>
      <w:r w:rsidR="004C4AD1" w:rsidRPr="00963CF6">
        <w:t xml:space="preserve">6,5 </w:t>
      </w:r>
      <w:r w:rsidRPr="00963CF6">
        <w:t>% от общего числа) случа</w:t>
      </w:r>
      <w:r w:rsidR="009F09D7">
        <w:t>й</w:t>
      </w:r>
      <w:r w:rsidRPr="00963CF6">
        <w:t xml:space="preserve"> стационарозамещающей  помощи.</w:t>
      </w:r>
    </w:p>
    <w:p w:rsidR="00905394" w:rsidRPr="00F82455" w:rsidRDefault="00905394" w:rsidP="00A21EEE">
      <w:pPr>
        <w:jc w:val="both"/>
      </w:pPr>
    </w:p>
    <w:p w:rsidR="00E05ADF" w:rsidRDefault="00E05ADF" w:rsidP="00905394">
      <w:pPr>
        <w:jc w:val="center"/>
      </w:pPr>
      <w:r>
        <w:t xml:space="preserve">Результаты проведенных ТФОМС РК и СМО </w:t>
      </w:r>
    </w:p>
    <w:p w:rsidR="00905394" w:rsidRPr="00F82455" w:rsidRDefault="00E05ADF" w:rsidP="00905394">
      <w:pPr>
        <w:jc w:val="center"/>
      </w:pPr>
      <w:r>
        <w:t xml:space="preserve">медико – экономических экспертиз  </w:t>
      </w:r>
      <w:r w:rsidR="00905394" w:rsidRPr="00F82455">
        <w:t>в 20</w:t>
      </w:r>
      <w:r w:rsidR="00B60155">
        <w:t>22-</w:t>
      </w:r>
      <w:r w:rsidR="009F09D7">
        <w:t>20</w:t>
      </w:r>
      <w:r w:rsidR="00905394" w:rsidRPr="00F82455">
        <w:t>2</w:t>
      </w:r>
      <w:r>
        <w:t>3</w:t>
      </w:r>
      <w:r w:rsidR="00B60155">
        <w:t>гг.</w:t>
      </w:r>
    </w:p>
    <w:p w:rsidR="005121EF" w:rsidRDefault="00E05ADF" w:rsidP="00905394">
      <w:pPr>
        <w:jc w:val="right"/>
      </w:pPr>
      <w:r>
        <w:t>Таблица №</w:t>
      </w:r>
      <w:r w:rsidR="00963CF6">
        <w:t>3</w:t>
      </w:r>
    </w:p>
    <w:p w:rsidR="00E05ADF" w:rsidRPr="00F82455" w:rsidRDefault="00E05ADF" w:rsidP="00905394">
      <w:pPr>
        <w:jc w:val="right"/>
      </w:pPr>
    </w:p>
    <w:tbl>
      <w:tblPr>
        <w:tblStyle w:val="a3"/>
        <w:tblW w:w="9679" w:type="dxa"/>
        <w:tblInd w:w="68" w:type="dxa"/>
        <w:tblLayout w:type="fixed"/>
        <w:tblLook w:val="04A0"/>
      </w:tblPr>
      <w:tblGrid>
        <w:gridCol w:w="1631"/>
        <w:gridCol w:w="961"/>
        <w:gridCol w:w="992"/>
        <w:gridCol w:w="1515"/>
        <w:gridCol w:w="1604"/>
        <w:gridCol w:w="1417"/>
        <w:gridCol w:w="1559"/>
      </w:tblGrid>
      <w:tr w:rsidR="004C4AD1" w:rsidRPr="00F82455" w:rsidTr="004C4AD1">
        <w:tc>
          <w:tcPr>
            <w:tcW w:w="1631" w:type="dxa"/>
            <w:vMerge w:val="restart"/>
            <w:vAlign w:val="center"/>
          </w:tcPr>
          <w:p w:rsidR="000217D8" w:rsidRPr="00F82455" w:rsidRDefault="00963CF6" w:rsidP="004C4AD1">
            <w:pPr>
              <w:jc w:val="center"/>
            </w:pPr>
            <w:r>
              <w:t>Н</w:t>
            </w:r>
            <w:r w:rsidR="000217D8">
              <w:t xml:space="preserve">аименование </w:t>
            </w:r>
            <w:r w:rsidR="000217D8" w:rsidRPr="00F82455">
              <w:t>показател</w:t>
            </w:r>
            <w:r w:rsidR="000217D8">
              <w:t>я</w:t>
            </w:r>
          </w:p>
        </w:tc>
        <w:tc>
          <w:tcPr>
            <w:tcW w:w="961" w:type="dxa"/>
            <w:vMerge w:val="restart"/>
            <w:vAlign w:val="center"/>
          </w:tcPr>
          <w:p w:rsidR="000217D8" w:rsidRPr="00F82455" w:rsidRDefault="00963CF6" w:rsidP="004C4AD1">
            <w:pPr>
              <w:jc w:val="center"/>
            </w:pPr>
            <w:r>
              <w:t>Г</w:t>
            </w:r>
            <w:r w:rsidR="000217D8">
              <w:t>од</w:t>
            </w:r>
          </w:p>
        </w:tc>
        <w:tc>
          <w:tcPr>
            <w:tcW w:w="992" w:type="dxa"/>
            <w:vMerge w:val="restart"/>
            <w:vAlign w:val="center"/>
          </w:tcPr>
          <w:p w:rsidR="000217D8" w:rsidRPr="00F82455" w:rsidRDefault="004C4AD1" w:rsidP="004C4AD1">
            <w:pPr>
              <w:jc w:val="center"/>
            </w:pPr>
            <w:r>
              <w:t>В</w:t>
            </w:r>
            <w:r w:rsidR="000217D8" w:rsidRPr="00F82455">
              <w:t>сего</w:t>
            </w:r>
            <w:r>
              <w:t>:</w:t>
            </w:r>
          </w:p>
        </w:tc>
        <w:tc>
          <w:tcPr>
            <w:tcW w:w="6095" w:type="dxa"/>
            <w:gridSpan w:val="4"/>
            <w:vAlign w:val="center"/>
          </w:tcPr>
          <w:p w:rsidR="000217D8" w:rsidRPr="00F82455" w:rsidRDefault="004C4AD1" w:rsidP="004C4AD1">
            <w:pPr>
              <w:jc w:val="center"/>
            </w:pPr>
            <w:r w:rsidRPr="004C4AD1">
              <w:t>в том числе по медицинской помощи, оказанной:</w:t>
            </w:r>
          </w:p>
        </w:tc>
      </w:tr>
      <w:tr w:rsidR="004C4AD1" w:rsidRPr="00F82455" w:rsidTr="004C4AD1">
        <w:tc>
          <w:tcPr>
            <w:tcW w:w="1631" w:type="dxa"/>
            <w:vMerge/>
            <w:vAlign w:val="center"/>
          </w:tcPr>
          <w:p w:rsidR="000217D8" w:rsidRPr="00F82455" w:rsidRDefault="000217D8" w:rsidP="004C4AD1">
            <w:pPr>
              <w:jc w:val="center"/>
            </w:pPr>
          </w:p>
        </w:tc>
        <w:tc>
          <w:tcPr>
            <w:tcW w:w="961" w:type="dxa"/>
            <w:vMerge/>
            <w:vAlign w:val="center"/>
          </w:tcPr>
          <w:p w:rsidR="000217D8" w:rsidRPr="00F82455" w:rsidRDefault="000217D8" w:rsidP="004C4AD1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217D8" w:rsidRPr="00F82455" w:rsidRDefault="000217D8" w:rsidP="004C4AD1">
            <w:pPr>
              <w:jc w:val="center"/>
            </w:pPr>
          </w:p>
        </w:tc>
        <w:tc>
          <w:tcPr>
            <w:tcW w:w="1515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с</w:t>
            </w:r>
            <w:r w:rsidRPr="00F82455">
              <w:t xml:space="preserve">корая </w:t>
            </w:r>
            <w:r>
              <w:t>медицинская помощь</w:t>
            </w:r>
          </w:p>
        </w:tc>
        <w:tc>
          <w:tcPr>
            <w:tcW w:w="1604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а</w:t>
            </w:r>
            <w:r w:rsidR="004C4AD1">
              <w:t>мбулаторно</w:t>
            </w:r>
          </w:p>
        </w:tc>
        <w:tc>
          <w:tcPr>
            <w:tcW w:w="1417" w:type="dxa"/>
            <w:vAlign w:val="center"/>
          </w:tcPr>
          <w:p w:rsidR="000217D8" w:rsidRPr="00F82455" w:rsidRDefault="004C4AD1" w:rsidP="004C4AD1">
            <w:pPr>
              <w:jc w:val="center"/>
            </w:pPr>
            <w:r>
              <w:t xml:space="preserve">в </w:t>
            </w:r>
            <w:r w:rsidR="000217D8">
              <w:t>д</w:t>
            </w:r>
            <w:r>
              <w:t>невном</w:t>
            </w:r>
            <w:r w:rsidR="000217D8" w:rsidRPr="00F82455">
              <w:t xml:space="preserve"> стационар</w:t>
            </w:r>
            <w:r>
              <w:t>е</w:t>
            </w:r>
          </w:p>
        </w:tc>
        <w:tc>
          <w:tcPr>
            <w:tcW w:w="1559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стационар</w:t>
            </w:r>
            <w:r w:rsidR="004C4AD1">
              <w:t>но</w:t>
            </w:r>
          </w:p>
        </w:tc>
      </w:tr>
      <w:tr w:rsidR="004C4AD1" w:rsidRPr="00F82455" w:rsidTr="004C4AD1">
        <w:tc>
          <w:tcPr>
            <w:tcW w:w="1631" w:type="dxa"/>
            <w:vMerge w:val="restart"/>
            <w:vAlign w:val="center"/>
          </w:tcPr>
          <w:p w:rsidR="007D2652" w:rsidRPr="00F82455" w:rsidRDefault="00963CF6" w:rsidP="00F35DC2">
            <w:r>
              <w:t>К</w:t>
            </w:r>
            <w:r w:rsidR="00F35DC2">
              <w:t xml:space="preserve">оличество </w:t>
            </w:r>
            <w:r w:rsidR="007D2652" w:rsidRPr="00F82455">
              <w:t xml:space="preserve"> МЭЭ страховых случаев</w:t>
            </w:r>
          </w:p>
        </w:tc>
        <w:tc>
          <w:tcPr>
            <w:tcW w:w="961" w:type="dxa"/>
            <w:vAlign w:val="center"/>
          </w:tcPr>
          <w:p w:rsidR="007D2652" w:rsidRPr="00F82455" w:rsidRDefault="000217D8" w:rsidP="004C4AD1">
            <w:pPr>
              <w:jc w:val="center"/>
            </w:pPr>
            <w:r>
              <w:t>2023</w:t>
            </w:r>
          </w:p>
        </w:tc>
        <w:tc>
          <w:tcPr>
            <w:tcW w:w="992" w:type="dxa"/>
            <w:vAlign w:val="center"/>
          </w:tcPr>
          <w:p w:rsidR="007D2652" w:rsidRPr="00F82455" w:rsidRDefault="000217D8" w:rsidP="004C4AD1">
            <w:pPr>
              <w:jc w:val="center"/>
            </w:pPr>
            <w:r>
              <w:t>31717</w:t>
            </w:r>
          </w:p>
        </w:tc>
        <w:tc>
          <w:tcPr>
            <w:tcW w:w="1515" w:type="dxa"/>
            <w:vAlign w:val="center"/>
          </w:tcPr>
          <w:p w:rsidR="007D2652" w:rsidRPr="00F82455" w:rsidRDefault="000217D8" w:rsidP="004C4AD1">
            <w:pPr>
              <w:jc w:val="center"/>
            </w:pPr>
            <w:r>
              <w:t>2207</w:t>
            </w:r>
          </w:p>
        </w:tc>
        <w:tc>
          <w:tcPr>
            <w:tcW w:w="1604" w:type="dxa"/>
            <w:vAlign w:val="center"/>
          </w:tcPr>
          <w:p w:rsidR="007D2652" w:rsidRPr="00F82455" w:rsidRDefault="000217D8" w:rsidP="004C4AD1">
            <w:pPr>
              <w:jc w:val="center"/>
            </w:pPr>
            <w:r>
              <w:t>23632</w:t>
            </w:r>
          </w:p>
        </w:tc>
        <w:tc>
          <w:tcPr>
            <w:tcW w:w="1417" w:type="dxa"/>
            <w:vAlign w:val="center"/>
          </w:tcPr>
          <w:p w:rsidR="007D2652" w:rsidRPr="00F82455" w:rsidRDefault="000217D8" w:rsidP="004C4AD1">
            <w:pPr>
              <w:jc w:val="center"/>
            </w:pPr>
            <w:r>
              <w:t>2071</w:t>
            </w:r>
          </w:p>
        </w:tc>
        <w:tc>
          <w:tcPr>
            <w:tcW w:w="1559" w:type="dxa"/>
            <w:vAlign w:val="center"/>
          </w:tcPr>
          <w:p w:rsidR="007D2652" w:rsidRPr="00F82455" w:rsidRDefault="000217D8" w:rsidP="004C4AD1">
            <w:pPr>
              <w:jc w:val="center"/>
            </w:pPr>
            <w:r>
              <w:t>3807</w:t>
            </w:r>
          </w:p>
        </w:tc>
      </w:tr>
      <w:tr w:rsidR="004C4AD1" w:rsidRPr="00F82455" w:rsidTr="004C4AD1">
        <w:tc>
          <w:tcPr>
            <w:tcW w:w="1631" w:type="dxa"/>
            <w:vMerge/>
            <w:vAlign w:val="center"/>
          </w:tcPr>
          <w:p w:rsidR="000217D8" w:rsidRPr="00F82455" w:rsidRDefault="000217D8" w:rsidP="004C4AD1"/>
        </w:tc>
        <w:tc>
          <w:tcPr>
            <w:tcW w:w="961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2022</w:t>
            </w:r>
          </w:p>
        </w:tc>
        <w:tc>
          <w:tcPr>
            <w:tcW w:w="992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37642</w:t>
            </w:r>
          </w:p>
        </w:tc>
        <w:tc>
          <w:tcPr>
            <w:tcW w:w="1515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2020</w:t>
            </w:r>
          </w:p>
        </w:tc>
        <w:tc>
          <w:tcPr>
            <w:tcW w:w="1604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29044</w:t>
            </w:r>
          </w:p>
        </w:tc>
        <w:tc>
          <w:tcPr>
            <w:tcW w:w="1417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1558</w:t>
            </w:r>
          </w:p>
        </w:tc>
        <w:tc>
          <w:tcPr>
            <w:tcW w:w="1559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5020</w:t>
            </w:r>
          </w:p>
        </w:tc>
      </w:tr>
      <w:tr w:rsidR="004C4AD1" w:rsidRPr="00F82455" w:rsidTr="004C4AD1">
        <w:tc>
          <w:tcPr>
            <w:tcW w:w="1631" w:type="dxa"/>
            <w:vMerge/>
            <w:vAlign w:val="center"/>
          </w:tcPr>
          <w:p w:rsidR="000217D8" w:rsidRPr="00F82455" w:rsidRDefault="000217D8" w:rsidP="004C4AD1"/>
        </w:tc>
        <w:tc>
          <w:tcPr>
            <w:tcW w:w="961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динамика</w:t>
            </w:r>
          </w:p>
        </w:tc>
        <w:tc>
          <w:tcPr>
            <w:tcW w:w="992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-5925</w:t>
            </w:r>
          </w:p>
        </w:tc>
        <w:tc>
          <w:tcPr>
            <w:tcW w:w="1515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187</w:t>
            </w:r>
          </w:p>
        </w:tc>
        <w:tc>
          <w:tcPr>
            <w:tcW w:w="1604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-5412</w:t>
            </w:r>
          </w:p>
        </w:tc>
        <w:tc>
          <w:tcPr>
            <w:tcW w:w="1417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513</w:t>
            </w:r>
          </w:p>
        </w:tc>
        <w:tc>
          <w:tcPr>
            <w:tcW w:w="1559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-1213</w:t>
            </w:r>
          </w:p>
        </w:tc>
      </w:tr>
      <w:tr w:rsidR="004C4AD1" w:rsidRPr="00F82455" w:rsidTr="004C4AD1">
        <w:tc>
          <w:tcPr>
            <w:tcW w:w="1631" w:type="dxa"/>
            <w:vMerge w:val="restart"/>
            <w:vAlign w:val="center"/>
          </w:tcPr>
          <w:p w:rsidR="000217D8" w:rsidRPr="00F82455" w:rsidRDefault="00963CF6" w:rsidP="004C4AD1">
            <w:r>
              <w:t>К</w:t>
            </w:r>
            <w:r w:rsidR="00245E25">
              <w:t>оличество страховых случаев, содержащих нарушения</w:t>
            </w:r>
          </w:p>
        </w:tc>
        <w:tc>
          <w:tcPr>
            <w:tcW w:w="961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2023</w:t>
            </w:r>
          </w:p>
        </w:tc>
        <w:tc>
          <w:tcPr>
            <w:tcW w:w="992" w:type="dxa"/>
            <w:vAlign w:val="center"/>
          </w:tcPr>
          <w:p w:rsidR="000217D8" w:rsidRDefault="00315CDD" w:rsidP="004C4AD1">
            <w:pPr>
              <w:jc w:val="center"/>
            </w:pPr>
            <w:r>
              <w:t>10283</w:t>
            </w:r>
          </w:p>
        </w:tc>
        <w:tc>
          <w:tcPr>
            <w:tcW w:w="1515" w:type="dxa"/>
            <w:vAlign w:val="center"/>
          </w:tcPr>
          <w:p w:rsidR="000217D8" w:rsidRDefault="00315CDD" w:rsidP="004C4AD1">
            <w:pPr>
              <w:jc w:val="center"/>
            </w:pPr>
            <w:r>
              <w:t>357</w:t>
            </w:r>
          </w:p>
        </w:tc>
        <w:tc>
          <w:tcPr>
            <w:tcW w:w="1604" w:type="dxa"/>
            <w:vAlign w:val="center"/>
          </w:tcPr>
          <w:p w:rsidR="000217D8" w:rsidRDefault="00315CDD" w:rsidP="004C4AD1">
            <w:pPr>
              <w:jc w:val="center"/>
            </w:pPr>
            <w:r>
              <w:t>8568</w:t>
            </w:r>
          </w:p>
        </w:tc>
        <w:tc>
          <w:tcPr>
            <w:tcW w:w="1417" w:type="dxa"/>
            <w:vAlign w:val="center"/>
          </w:tcPr>
          <w:p w:rsidR="000217D8" w:rsidRDefault="00315CDD" w:rsidP="004C4AD1">
            <w:pPr>
              <w:jc w:val="center"/>
            </w:pPr>
            <w:r>
              <w:t>404</w:t>
            </w:r>
          </w:p>
        </w:tc>
        <w:tc>
          <w:tcPr>
            <w:tcW w:w="1559" w:type="dxa"/>
            <w:vAlign w:val="center"/>
          </w:tcPr>
          <w:p w:rsidR="000217D8" w:rsidRDefault="00315CDD" w:rsidP="004C4AD1">
            <w:pPr>
              <w:jc w:val="center"/>
            </w:pPr>
            <w:r>
              <w:t>954</w:t>
            </w:r>
          </w:p>
        </w:tc>
      </w:tr>
      <w:tr w:rsidR="004C4AD1" w:rsidRPr="00F82455" w:rsidTr="004C4AD1">
        <w:tc>
          <w:tcPr>
            <w:tcW w:w="1631" w:type="dxa"/>
            <w:vMerge/>
            <w:vAlign w:val="center"/>
          </w:tcPr>
          <w:p w:rsidR="000217D8" w:rsidRPr="00F82455" w:rsidRDefault="000217D8" w:rsidP="004C4AD1"/>
        </w:tc>
        <w:tc>
          <w:tcPr>
            <w:tcW w:w="961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2022</w:t>
            </w:r>
          </w:p>
        </w:tc>
        <w:tc>
          <w:tcPr>
            <w:tcW w:w="992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12548</w:t>
            </w:r>
          </w:p>
        </w:tc>
        <w:tc>
          <w:tcPr>
            <w:tcW w:w="1515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47</w:t>
            </w:r>
          </w:p>
        </w:tc>
        <w:tc>
          <w:tcPr>
            <w:tcW w:w="1604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11545</w:t>
            </w:r>
          </w:p>
        </w:tc>
        <w:tc>
          <w:tcPr>
            <w:tcW w:w="1417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202</w:t>
            </w:r>
          </w:p>
        </w:tc>
        <w:tc>
          <w:tcPr>
            <w:tcW w:w="1559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754</w:t>
            </w:r>
          </w:p>
        </w:tc>
      </w:tr>
      <w:tr w:rsidR="004C4AD1" w:rsidRPr="00F82455" w:rsidTr="004C4AD1">
        <w:tc>
          <w:tcPr>
            <w:tcW w:w="1631" w:type="dxa"/>
            <w:vMerge/>
            <w:vAlign w:val="center"/>
          </w:tcPr>
          <w:p w:rsidR="000217D8" w:rsidRPr="00F82455" w:rsidRDefault="000217D8" w:rsidP="004C4AD1"/>
        </w:tc>
        <w:tc>
          <w:tcPr>
            <w:tcW w:w="961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динамика</w:t>
            </w:r>
          </w:p>
        </w:tc>
        <w:tc>
          <w:tcPr>
            <w:tcW w:w="992" w:type="dxa"/>
            <w:vAlign w:val="center"/>
          </w:tcPr>
          <w:p w:rsidR="000217D8" w:rsidRPr="00F82455" w:rsidRDefault="00315CDD" w:rsidP="004C4AD1">
            <w:pPr>
              <w:jc w:val="center"/>
            </w:pPr>
            <w:r>
              <w:t>-2265</w:t>
            </w:r>
          </w:p>
        </w:tc>
        <w:tc>
          <w:tcPr>
            <w:tcW w:w="1515" w:type="dxa"/>
            <w:vAlign w:val="center"/>
          </w:tcPr>
          <w:p w:rsidR="000217D8" w:rsidRPr="00F82455" w:rsidRDefault="00315CDD" w:rsidP="004C4AD1">
            <w:pPr>
              <w:jc w:val="center"/>
            </w:pPr>
            <w:r>
              <w:t>310</w:t>
            </w:r>
          </w:p>
        </w:tc>
        <w:tc>
          <w:tcPr>
            <w:tcW w:w="1604" w:type="dxa"/>
            <w:vAlign w:val="center"/>
          </w:tcPr>
          <w:p w:rsidR="000217D8" w:rsidRPr="00F82455" w:rsidRDefault="00315CDD" w:rsidP="004C4AD1">
            <w:pPr>
              <w:jc w:val="center"/>
            </w:pPr>
            <w:r>
              <w:t>-2977</w:t>
            </w:r>
          </w:p>
        </w:tc>
        <w:tc>
          <w:tcPr>
            <w:tcW w:w="1417" w:type="dxa"/>
            <w:vAlign w:val="center"/>
          </w:tcPr>
          <w:p w:rsidR="000217D8" w:rsidRPr="00F82455" w:rsidRDefault="00315CDD" w:rsidP="004C4AD1">
            <w:pPr>
              <w:jc w:val="center"/>
            </w:pPr>
            <w:r>
              <w:t>202</w:t>
            </w:r>
          </w:p>
        </w:tc>
        <w:tc>
          <w:tcPr>
            <w:tcW w:w="1559" w:type="dxa"/>
            <w:vAlign w:val="center"/>
          </w:tcPr>
          <w:p w:rsidR="000217D8" w:rsidRPr="00F82455" w:rsidRDefault="00315CDD" w:rsidP="004C4AD1">
            <w:pPr>
              <w:jc w:val="center"/>
            </w:pPr>
            <w:r>
              <w:t>200</w:t>
            </w:r>
          </w:p>
        </w:tc>
      </w:tr>
      <w:tr w:rsidR="004C4AD1" w:rsidRPr="00F82455" w:rsidTr="004C4AD1">
        <w:tc>
          <w:tcPr>
            <w:tcW w:w="1631" w:type="dxa"/>
            <w:vMerge w:val="restart"/>
            <w:vAlign w:val="center"/>
          </w:tcPr>
          <w:p w:rsidR="000217D8" w:rsidRPr="00F82455" w:rsidRDefault="00F075EC" w:rsidP="00F075EC">
            <w:r>
              <w:t>Доля с</w:t>
            </w:r>
            <w:r w:rsidR="000217D8">
              <w:t>лучаев, содержащих нарушения</w:t>
            </w:r>
            <w:r w:rsidR="000217D8" w:rsidRPr="00F82455">
              <w:t>, %</w:t>
            </w:r>
          </w:p>
        </w:tc>
        <w:tc>
          <w:tcPr>
            <w:tcW w:w="961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2023</w:t>
            </w:r>
          </w:p>
        </w:tc>
        <w:tc>
          <w:tcPr>
            <w:tcW w:w="992" w:type="dxa"/>
            <w:vAlign w:val="center"/>
          </w:tcPr>
          <w:p w:rsidR="000217D8" w:rsidRPr="00F82455" w:rsidRDefault="00315CDD" w:rsidP="004C4AD1">
            <w:pPr>
              <w:jc w:val="center"/>
            </w:pPr>
            <w:r>
              <w:t>32,4</w:t>
            </w:r>
          </w:p>
        </w:tc>
        <w:tc>
          <w:tcPr>
            <w:tcW w:w="1515" w:type="dxa"/>
            <w:vAlign w:val="center"/>
          </w:tcPr>
          <w:p w:rsidR="000217D8" w:rsidRPr="00F82455" w:rsidRDefault="00315CDD" w:rsidP="004C4AD1">
            <w:pPr>
              <w:jc w:val="center"/>
            </w:pPr>
            <w:r>
              <w:t>16,2</w:t>
            </w:r>
          </w:p>
        </w:tc>
        <w:tc>
          <w:tcPr>
            <w:tcW w:w="1604" w:type="dxa"/>
            <w:vAlign w:val="center"/>
          </w:tcPr>
          <w:p w:rsidR="000217D8" w:rsidRPr="00F82455" w:rsidRDefault="00315CDD" w:rsidP="004C4AD1">
            <w:pPr>
              <w:jc w:val="center"/>
            </w:pPr>
            <w:r>
              <w:t>36,3</w:t>
            </w:r>
          </w:p>
        </w:tc>
        <w:tc>
          <w:tcPr>
            <w:tcW w:w="1417" w:type="dxa"/>
            <w:vAlign w:val="center"/>
          </w:tcPr>
          <w:p w:rsidR="000217D8" w:rsidRPr="00F82455" w:rsidRDefault="00315CDD" w:rsidP="004C4AD1">
            <w:pPr>
              <w:jc w:val="center"/>
            </w:pPr>
            <w:r>
              <w:t>19,5</w:t>
            </w:r>
          </w:p>
        </w:tc>
        <w:tc>
          <w:tcPr>
            <w:tcW w:w="1559" w:type="dxa"/>
            <w:vAlign w:val="center"/>
          </w:tcPr>
          <w:p w:rsidR="000217D8" w:rsidRPr="00F82455" w:rsidRDefault="00315CDD" w:rsidP="004C4AD1">
            <w:pPr>
              <w:jc w:val="center"/>
            </w:pPr>
            <w:r>
              <w:t>25,1</w:t>
            </w:r>
          </w:p>
        </w:tc>
      </w:tr>
      <w:tr w:rsidR="004C4AD1" w:rsidRPr="00F82455" w:rsidTr="004C4AD1">
        <w:tc>
          <w:tcPr>
            <w:tcW w:w="1631" w:type="dxa"/>
            <w:vMerge/>
            <w:vAlign w:val="center"/>
          </w:tcPr>
          <w:p w:rsidR="000217D8" w:rsidRPr="00F82455" w:rsidRDefault="000217D8" w:rsidP="004C4AD1">
            <w:pPr>
              <w:jc w:val="center"/>
            </w:pPr>
          </w:p>
        </w:tc>
        <w:tc>
          <w:tcPr>
            <w:tcW w:w="961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2022</w:t>
            </w:r>
          </w:p>
        </w:tc>
        <w:tc>
          <w:tcPr>
            <w:tcW w:w="992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33,3</w:t>
            </w:r>
          </w:p>
        </w:tc>
        <w:tc>
          <w:tcPr>
            <w:tcW w:w="1515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2,3</w:t>
            </w:r>
          </w:p>
        </w:tc>
        <w:tc>
          <w:tcPr>
            <w:tcW w:w="1604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39,8</w:t>
            </w:r>
          </w:p>
        </w:tc>
        <w:tc>
          <w:tcPr>
            <w:tcW w:w="1417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13,0</w:t>
            </w:r>
          </w:p>
        </w:tc>
        <w:tc>
          <w:tcPr>
            <w:tcW w:w="1559" w:type="dxa"/>
            <w:vAlign w:val="center"/>
          </w:tcPr>
          <w:p w:rsidR="000217D8" w:rsidRPr="00F82455" w:rsidRDefault="000217D8" w:rsidP="004C4AD1">
            <w:pPr>
              <w:jc w:val="center"/>
            </w:pPr>
            <w:r w:rsidRPr="00F82455">
              <w:t>15,0</w:t>
            </w:r>
          </w:p>
        </w:tc>
      </w:tr>
      <w:tr w:rsidR="004C4AD1" w:rsidRPr="00F82455" w:rsidTr="004C4AD1">
        <w:tc>
          <w:tcPr>
            <w:tcW w:w="1631" w:type="dxa"/>
            <w:vMerge/>
            <w:vAlign w:val="center"/>
          </w:tcPr>
          <w:p w:rsidR="000217D8" w:rsidRPr="00F82455" w:rsidRDefault="000217D8" w:rsidP="004C4AD1">
            <w:pPr>
              <w:jc w:val="center"/>
            </w:pPr>
          </w:p>
        </w:tc>
        <w:tc>
          <w:tcPr>
            <w:tcW w:w="961" w:type="dxa"/>
            <w:vAlign w:val="center"/>
          </w:tcPr>
          <w:p w:rsidR="000217D8" w:rsidRPr="00F82455" w:rsidRDefault="000217D8" w:rsidP="004C4AD1">
            <w:pPr>
              <w:jc w:val="center"/>
            </w:pPr>
            <w:r>
              <w:t>динамика</w:t>
            </w:r>
          </w:p>
        </w:tc>
        <w:tc>
          <w:tcPr>
            <w:tcW w:w="992" w:type="dxa"/>
            <w:vAlign w:val="center"/>
          </w:tcPr>
          <w:p w:rsidR="000217D8" w:rsidRPr="00F82455" w:rsidRDefault="00315CDD" w:rsidP="004C4AD1">
            <w:pPr>
              <w:jc w:val="center"/>
            </w:pPr>
            <w:r>
              <w:t>-0,9</w:t>
            </w:r>
          </w:p>
        </w:tc>
        <w:tc>
          <w:tcPr>
            <w:tcW w:w="1515" w:type="dxa"/>
            <w:vAlign w:val="center"/>
          </w:tcPr>
          <w:p w:rsidR="000217D8" w:rsidRPr="00F82455" w:rsidRDefault="00315CDD" w:rsidP="004C4AD1">
            <w:pPr>
              <w:jc w:val="center"/>
            </w:pPr>
            <w:r>
              <w:t>13,9</w:t>
            </w:r>
          </w:p>
        </w:tc>
        <w:tc>
          <w:tcPr>
            <w:tcW w:w="1604" w:type="dxa"/>
            <w:vAlign w:val="center"/>
          </w:tcPr>
          <w:p w:rsidR="000217D8" w:rsidRPr="00F82455" w:rsidRDefault="00315CDD" w:rsidP="004C4AD1">
            <w:pPr>
              <w:jc w:val="center"/>
            </w:pPr>
            <w:r>
              <w:t>-3,5</w:t>
            </w:r>
          </w:p>
        </w:tc>
        <w:tc>
          <w:tcPr>
            <w:tcW w:w="1417" w:type="dxa"/>
            <w:vAlign w:val="center"/>
          </w:tcPr>
          <w:p w:rsidR="000217D8" w:rsidRPr="00F82455" w:rsidRDefault="004C4AD1" w:rsidP="004C4AD1">
            <w:pPr>
              <w:jc w:val="center"/>
            </w:pPr>
            <w:r>
              <w:t>6,5</w:t>
            </w:r>
          </w:p>
        </w:tc>
        <w:tc>
          <w:tcPr>
            <w:tcW w:w="1559" w:type="dxa"/>
            <w:vAlign w:val="center"/>
          </w:tcPr>
          <w:p w:rsidR="000217D8" w:rsidRPr="00F82455" w:rsidRDefault="004C4AD1" w:rsidP="004C4AD1">
            <w:pPr>
              <w:jc w:val="center"/>
            </w:pPr>
            <w:r>
              <w:t>10,1</w:t>
            </w:r>
          </w:p>
        </w:tc>
      </w:tr>
    </w:tbl>
    <w:p w:rsidR="00316424" w:rsidRPr="00F82455" w:rsidRDefault="00316424" w:rsidP="00905394">
      <w:pPr>
        <w:jc w:val="right"/>
      </w:pPr>
    </w:p>
    <w:p w:rsidR="00840164" w:rsidRDefault="00905394" w:rsidP="00905394">
      <w:pPr>
        <w:ind w:left="68" w:firstLine="640"/>
        <w:jc w:val="both"/>
      </w:pPr>
      <w:r w:rsidRPr="00F82455">
        <w:t>По результатам МЭЭ выявлен</w:t>
      </w:r>
      <w:r w:rsidR="00840164">
        <w:t xml:space="preserve">ы  нарушения  в </w:t>
      </w:r>
      <w:r w:rsidRPr="00F82455">
        <w:t>1</w:t>
      </w:r>
      <w:r w:rsidR="004C4AD1">
        <w:t>0</w:t>
      </w:r>
      <w:r w:rsidR="00E75473">
        <w:t xml:space="preserve"> </w:t>
      </w:r>
      <w:r w:rsidR="004C4AD1">
        <w:t xml:space="preserve">283 </w:t>
      </w:r>
      <w:r w:rsidR="00840164">
        <w:t>(</w:t>
      </w:r>
      <w:r w:rsidR="004C4AD1" w:rsidRPr="00F82455">
        <w:t>3</w:t>
      </w:r>
      <w:r w:rsidR="00840164">
        <w:t xml:space="preserve">2,4 </w:t>
      </w:r>
      <w:r w:rsidR="004C4AD1" w:rsidRPr="00F82455">
        <w:t>%</w:t>
      </w:r>
      <w:r w:rsidR="00840164">
        <w:t xml:space="preserve">) </w:t>
      </w:r>
      <w:r w:rsidR="004C4AD1" w:rsidRPr="00F82455">
        <w:t xml:space="preserve">  страховых случа</w:t>
      </w:r>
      <w:r w:rsidR="00E75473">
        <w:t>ях</w:t>
      </w:r>
      <w:r w:rsidR="004C4AD1" w:rsidRPr="00F82455">
        <w:t>, подвергнутых МЭЭ</w:t>
      </w:r>
      <w:r w:rsidR="00840164">
        <w:t>. С</w:t>
      </w:r>
      <w:r w:rsidR="004C4AD1" w:rsidRPr="00F82455">
        <w:t>лучаи  оказания амбулаторной помощи</w:t>
      </w:r>
      <w:r w:rsidR="00840164">
        <w:t xml:space="preserve"> содержат нарушения в 36,3 %, стационарной помощи в 25,1 %, стационарозамещающей помощи в 19,5 %, скорой медицинской помощи в 16,2 %.  </w:t>
      </w:r>
    </w:p>
    <w:p w:rsidR="00590BA2" w:rsidRPr="00F82455" w:rsidRDefault="00590BA2" w:rsidP="00905394">
      <w:pPr>
        <w:ind w:left="68" w:firstLine="640"/>
        <w:jc w:val="both"/>
      </w:pPr>
      <w:r w:rsidRPr="00F82455">
        <w:t>По сравнению с 202</w:t>
      </w:r>
      <w:r w:rsidR="00840164">
        <w:t>2</w:t>
      </w:r>
      <w:r w:rsidRPr="00F82455">
        <w:t xml:space="preserve"> годом отмечена </w:t>
      </w:r>
      <w:r w:rsidR="00170DBE">
        <w:t xml:space="preserve">незначительная </w:t>
      </w:r>
      <w:r w:rsidRPr="00F82455">
        <w:t xml:space="preserve">положительная динамика в виде уменьшения  </w:t>
      </w:r>
      <w:r w:rsidR="00F075EC">
        <w:t xml:space="preserve">доли </w:t>
      </w:r>
      <w:r w:rsidR="003772BE" w:rsidRPr="00F82455">
        <w:t xml:space="preserve">случаев, содержащих дефекты, с </w:t>
      </w:r>
      <w:r w:rsidR="00840164">
        <w:t>33,3 % до 32,4 %</w:t>
      </w:r>
      <w:r w:rsidR="004862DF">
        <w:t xml:space="preserve"> за счет снижения удельного веса случаев</w:t>
      </w:r>
      <w:r w:rsidR="004862DF" w:rsidRPr="004862DF">
        <w:t xml:space="preserve"> </w:t>
      </w:r>
      <w:r w:rsidR="004862DF">
        <w:t xml:space="preserve">амбулаторной помощи с нарушениями с 39,8 % до 36,3 %.  При этом </w:t>
      </w:r>
      <w:r w:rsidR="00F075EC">
        <w:t xml:space="preserve">доля </w:t>
      </w:r>
      <w:r w:rsidR="004862DF">
        <w:t xml:space="preserve"> случаев, содержащих нарушения,  </w:t>
      </w:r>
      <w:r w:rsidR="001C6672">
        <w:t xml:space="preserve">по скорой медицинской помощи увеличился  с 2,3 % до 16,2 %; </w:t>
      </w:r>
      <w:r w:rsidR="003772BE" w:rsidRPr="00F82455">
        <w:t xml:space="preserve">стационарной помощи с </w:t>
      </w:r>
      <w:r w:rsidR="001C6672">
        <w:t xml:space="preserve">15,0 </w:t>
      </w:r>
      <w:r w:rsidR="003772BE" w:rsidRPr="00F82455">
        <w:t xml:space="preserve">% до </w:t>
      </w:r>
      <w:r w:rsidR="001C6672">
        <w:t xml:space="preserve">25,1 </w:t>
      </w:r>
      <w:r w:rsidR="003772BE" w:rsidRPr="00F82455">
        <w:t>%</w:t>
      </w:r>
      <w:r w:rsidR="001C6672">
        <w:t>; стационарозамещающей помощи с 13,0 % до 19,5 %.</w:t>
      </w:r>
      <w:r w:rsidR="003772BE" w:rsidRPr="00F82455">
        <w:t xml:space="preserve"> </w:t>
      </w:r>
    </w:p>
    <w:p w:rsidR="000E0400" w:rsidRPr="00F82455" w:rsidRDefault="000E0400" w:rsidP="008600AC">
      <w:pPr>
        <w:ind w:left="68" w:firstLine="640"/>
        <w:jc w:val="both"/>
      </w:pPr>
    </w:p>
    <w:p w:rsidR="008600AC" w:rsidRPr="00F82455" w:rsidRDefault="008600AC" w:rsidP="008600AC">
      <w:pPr>
        <w:jc w:val="center"/>
      </w:pPr>
      <w:r w:rsidRPr="00F82455">
        <w:lastRenderedPageBreak/>
        <w:t xml:space="preserve">Структура нарушений, выявленных </w:t>
      </w:r>
      <w:r w:rsidR="00AF4430">
        <w:t xml:space="preserve">ТФОМС РК и СМО </w:t>
      </w:r>
      <w:r w:rsidRPr="00F82455">
        <w:t>по результатам медико-экономической экспертизы</w:t>
      </w:r>
      <w:r w:rsidR="00302EFD" w:rsidRPr="00F82455">
        <w:t>,</w:t>
      </w:r>
      <w:r w:rsidRPr="00F82455">
        <w:t xml:space="preserve"> в </w:t>
      </w:r>
      <w:r w:rsidR="00FD271D" w:rsidRPr="00F82455">
        <w:t>20</w:t>
      </w:r>
      <w:r w:rsidR="005121EF" w:rsidRPr="00F82455">
        <w:t>2</w:t>
      </w:r>
      <w:r w:rsidR="003772BE" w:rsidRPr="00F82455">
        <w:t>2</w:t>
      </w:r>
      <w:r w:rsidR="00B60155">
        <w:t>-23гг.</w:t>
      </w:r>
      <w:r w:rsidR="00302EFD" w:rsidRPr="00F82455">
        <w:t xml:space="preserve"> </w:t>
      </w:r>
    </w:p>
    <w:p w:rsidR="008600AC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82455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75473">
        <w:rPr>
          <w:rFonts w:ascii="Times New Roman" w:hAnsi="Times New Roman" w:cs="Times New Roman"/>
          <w:sz w:val="24"/>
          <w:szCs w:val="24"/>
        </w:rPr>
        <w:t>4</w:t>
      </w:r>
    </w:p>
    <w:p w:rsidR="00AF4430" w:rsidRDefault="00AF4430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27" w:type="dxa"/>
        <w:tblInd w:w="-176" w:type="dxa"/>
        <w:tblLayout w:type="fixed"/>
        <w:tblLook w:val="04A0"/>
      </w:tblPr>
      <w:tblGrid>
        <w:gridCol w:w="3545"/>
        <w:gridCol w:w="1134"/>
        <w:gridCol w:w="1275"/>
        <w:gridCol w:w="1038"/>
        <w:gridCol w:w="960"/>
        <w:gridCol w:w="943"/>
        <w:gridCol w:w="932"/>
      </w:tblGrid>
      <w:tr w:rsidR="00AF4430" w:rsidRPr="00AF4430" w:rsidTr="00AF4430">
        <w:trPr>
          <w:trHeight w:val="75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30" w:rsidRPr="00AF4430" w:rsidRDefault="00E75473" w:rsidP="00AF4430">
            <w:pPr>
              <w:jc w:val="center"/>
            </w:pPr>
            <w:r>
              <w:t>Д</w:t>
            </w:r>
            <w:r w:rsidR="00AF4430" w:rsidRPr="00AF4430">
              <w:t>ефекты оказания медицинской помощи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30" w:rsidRPr="00AF4430" w:rsidRDefault="00E75473" w:rsidP="00AF4430">
            <w:pPr>
              <w:jc w:val="center"/>
            </w:pPr>
            <w:r>
              <w:t>К</w:t>
            </w:r>
            <w:r w:rsidR="00AF4430" w:rsidRPr="00AF4430">
              <w:t>оличество выявленных нарушений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30" w:rsidRPr="00AF4430" w:rsidRDefault="00E75473" w:rsidP="00AF4430">
            <w:pPr>
              <w:jc w:val="center"/>
            </w:pPr>
            <w:r>
              <w:t>У</w:t>
            </w:r>
            <w:r w:rsidR="00AF4430" w:rsidRPr="00AF4430">
              <w:t>дельный вес нарушений, %</w:t>
            </w:r>
          </w:p>
        </w:tc>
      </w:tr>
      <w:tr w:rsidR="00AF4430" w:rsidRPr="00AF4430" w:rsidTr="00AF4430">
        <w:trPr>
          <w:trHeight w:val="94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30" w:rsidRPr="00AF4430" w:rsidRDefault="00AF4430" w:rsidP="00AF4430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r w:rsidRPr="00AF4430"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2022 год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динамика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r w:rsidRPr="00AF4430">
              <w:t>2023 год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2022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динамика</w:t>
            </w:r>
          </w:p>
        </w:tc>
      </w:tr>
      <w:tr w:rsidR="00AF4430" w:rsidRPr="00AF4430" w:rsidTr="00AF4430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E75473">
            <w:pPr>
              <w:jc w:val="both"/>
            </w:pPr>
            <w:r w:rsidRPr="00AF4430">
              <w:t>связанные с нарушениями сроков ожидания медицинской помощи</w:t>
            </w:r>
            <w:r w:rsidRPr="00AF4430"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0,02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pPr>
              <w:jc w:val="right"/>
            </w:pPr>
            <w:r w:rsidRPr="00AF4430">
              <w:t>0,02</w:t>
            </w:r>
          </w:p>
        </w:tc>
      </w:tr>
      <w:tr w:rsidR="00AF4430" w:rsidRPr="00AF4430" w:rsidTr="00AF4430">
        <w:trPr>
          <w:trHeight w:val="19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E75473">
            <w:pPr>
              <w:jc w:val="both"/>
            </w:pPr>
            <w:r w:rsidRPr="00AF4430">
              <w:t>нарушение условий оказания скорой медицинской помощи (несоблюдение времени доезда</w:t>
            </w:r>
            <w:r w:rsidRPr="00AF4430">
              <w:br/>
              <w:t>до пациента бригады скорой медицинской помощи,при летальном исходе до приезда бригады скорой медицинской помощи)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-   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0,05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0,38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pPr>
              <w:jc w:val="right"/>
            </w:pPr>
            <w:r w:rsidRPr="00AF4430">
              <w:t>-0,34</w:t>
            </w:r>
          </w:p>
        </w:tc>
      </w:tr>
      <w:tr w:rsidR="00AF4430" w:rsidRPr="00AF4430" w:rsidTr="00AF4430">
        <w:trPr>
          <w:trHeight w:val="20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E75473">
            <w:pPr>
              <w:jc w:val="both"/>
            </w:pPr>
            <w:r w:rsidRPr="00AF4430">
              <w:t xml:space="preserve">необоснованное представление </w:t>
            </w:r>
            <w:r w:rsidRPr="00AF4430">
              <w:br/>
              <w:t xml:space="preserve">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стационара,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0,05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pPr>
              <w:jc w:val="right"/>
            </w:pPr>
            <w:r w:rsidRPr="00AF4430">
              <w:t>0,05</w:t>
            </w:r>
          </w:p>
        </w:tc>
      </w:tr>
      <w:tr w:rsidR="00AF4430" w:rsidRPr="00AF4430" w:rsidTr="00AF4430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Default="00AF4430" w:rsidP="00E75473">
            <w:pPr>
              <w:jc w:val="both"/>
            </w:pPr>
            <w:r w:rsidRPr="00AF4430">
              <w:t xml:space="preserve">приобретение пациентом или его представителем в период оказания медицинской помощи </w:t>
            </w:r>
            <w:r w:rsidRPr="00AF4430">
              <w:br/>
              <w:t xml:space="preserve">по назначению врача лекарственных препаратов </w:t>
            </w:r>
            <w:r w:rsidRPr="00AF4430">
              <w:br/>
              <w:t>для медицинского применения</w:t>
            </w:r>
          </w:p>
          <w:p w:rsidR="00AF4430" w:rsidRPr="00AF4430" w:rsidRDefault="00AF4430" w:rsidP="00E75473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0,19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pPr>
              <w:jc w:val="right"/>
            </w:pPr>
            <w:r w:rsidRPr="00AF4430">
              <w:t>0,19</w:t>
            </w:r>
          </w:p>
        </w:tc>
      </w:tr>
      <w:tr w:rsidR="00AF4430" w:rsidRPr="00AF4430" w:rsidTr="00AF4430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E75473">
            <w:pPr>
              <w:jc w:val="both"/>
            </w:pPr>
            <w:r w:rsidRPr="00AF4430">
              <w:t>непредставление первичной медицинской документации, подтверждающей факт оказания застрахованному лицу медицинской помощи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2 862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4 138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-  1 276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27,04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32,98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pPr>
              <w:jc w:val="right"/>
            </w:pPr>
            <w:r w:rsidRPr="00AF4430">
              <w:t>-5,94</w:t>
            </w:r>
          </w:p>
        </w:tc>
      </w:tr>
      <w:tr w:rsidR="00AF4430" w:rsidRPr="00AF4430" w:rsidTr="00AF4430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E75473">
            <w:pPr>
              <w:jc w:val="both"/>
            </w:pPr>
            <w:r w:rsidRPr="00AF4430">
              <w:t xml:space="preserve">отсутствие в документации (несоблюдение требований </w:t>
            </w:r>
            <w:r w:rsidRPr="00AF4430">
              <w:br/>
              <w:t xml:space="preserve">к оформлению) информированного добровольного согласия застрахованного лица на медицинское вмешательство </w:t>
            </w:r>
            <w:r w:rsidRPr="00AF4430">
              <w:br/>
              <w:t xml:space="preserve">или отказа застрахованного лица </w:t>
            </w:r>
            <w:r w:rsidRPr="00AF4430">
              <w:br/>
              <w:t xml:space="preserve">от медицинского </w:t>
            </w:r>
            <w:r w:rsidRPr="00AF4430">
              <w:lastRenderedPageBreak/>
              <w:t>вмешательства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lastRenderedPageBreak/>
              <w:t xml:space="preserve">  5 235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5 235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49,46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pPr>
              <w:jc w:val="right"/>
            </w:pPr>
            <w:r w:rsidRPr="00AF4430">
              <w:t>49,46</w:t>
            </w:r>
          </w:p>
        </w:tc>
      </w:tr>
      <w:tr w:rsidR="00AF4430" w:rsidRPr="00AF4430" w:rsidTr="00AF4430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E75473">
            <w:pPr>
              <w:jc w:val="both"/>
            </w:pPr>
            <w:r w:rsidRPr="00AF4430">
              <w:lastRenderedPageBreak/>
              <w:t xml:space="preserve">наличие признаков искажения сведений, представленных </w:t>
            </w:r>
            <w:r w:rsidRPr="00AF4430">
              <w:br/>
              <w:t>в медицинской документации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4,37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pPr>
              <w:jc w:val="right"/>
            </w:pPr>
            <w:r w:rsidRPr="00AF4430">
              <w:t>4,37</w:t>
            </w:r>
          </w:p>
        </w:tc>
      </w:tr>
      <w:tr w:rsidR="00AF4430" w:rsidRPr="00AF4430" w:rsidTr="00AF4430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E75473">
            <w:pPr>
              <w:jc w:val="both"/>
            </w:pPr>
            <w:r w:rsidRPr="00AF4430">
              <w:t>несоответствие данных медицинской документации данным реестра счетов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1 531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362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1 169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14,47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2,88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pPr>
              <w:jc w:val="right"/>
            </w:pPr>
            <w:r w:rsidRPr="00AF4430">
              <w:t>11,58</w:t>
            </w:r>
          </w:p>
        </w:tc>
      </w:tr>
      <w:tr w:rsidR="00AF4430" w:rsidRPr="00AF4430" w:rsidTr="00AF4430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E75473">
            <w:pPr>
              <w:jc w:val="both"/>
            </w:pPr>
            <w:r w:rsidRPr="00AF4430">
              <w:t xml:space="preserve">отсутствие в карте стационарного больного протокола врачебной комиссии в случаях назначения </w:t>
            </w:r>
            <w:r w:rsidRPr="00AF4430">
              <w:br/>
              <w:t>застрахованному лицу лекарственного препарата, не входящего в перечень жизненно необходимых и важнейших лекарственных препаратов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449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4,24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pPr>
              <w:jc w:val="right"/>
            </w:pPr>
            <w:r w:rsidRPr="00AF4430">
              <w:t>4,24</w:t>
            </w:r>
          </w:p>
        </w:tc>
      </w:tr>
      <w:tr w:rsidR="00AF4430" w:rsidRPr="00AF4430" w:rsidTr="00AF4430">
        <w:trPr>
          <w:trHeight w:val="9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C9744F" w:rsidP="00E75473">
            <w:pPr>
              <w:jc w:val="both"/>
            </w:pPr>
            <w:r w:rsidRPr="0058569C">
              <w:t>прочие нарушения</w:t>
            </w:r>
            <w:r w:rsidRPr="00F82455">
              <w:t xml:space="preserve"> </w:t>
            </w:r>
            <w:r>
              <w:t xml:space="preserve">в соответствии с </w:t>
            </w:r>
            <w:r w:rsidRPr="00F82455">
              <w:t>Переч</w:t>
            </w:r>
            <w:r>
              <w:t xml:space="preserve">нем </w:t>
            </w:r>
            <w:r w:rsidRPr="00F82455">
              <w:t xml:space="preserve"> оснований для </w:t>
            </w:r>
            <w:r>
              <w:t xml:space="preserve">отказа в </w:t>
            </w:r>
            <w:r w:rsidRPr="00F82455">
              <w:t>оплат</w:t>
            </w:r>
            <w:r>
              <w:t>е</w:t>
            </w:r>
            <w:r w:rsidRPr="00F82455">
              <w:t xml:space="preserve">  медицинской помощи</w:t>
            </w:r>
            <w:r w:rsidRPr="00AF4430">
              <w:t xml:space="preserve">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 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 xml:space="preserve">  8 000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-  7 987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0,12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63,76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pPr>
              <w:jc w:val="right"/>
            </w:pPr>
            <w:r w:rsidRPr="00AF4430">
              <w:t>-63,63</w:t>
            </w:r>
          </w:p>
        </w:tc>
      </w:tr>
      <w:tr w:rsidR="00AF4430" w:rsidRPr="00AF4430" w:rsidTr="00AF4430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E75473">
            <w:pPr>
              <w:jc w:val="both"/>
            </w:pPr>
            <w:r w:rsidRPr="00AF4430"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pPr>
              <w:jc w:val="right"/>
            </w:pPr>
            <w:r w:rsidRPr="00AF4430">
              <w:t xml:space="preserve">  10 584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pPr>
              <w:jc w:val="right"/>
            </w:pPr>
            <w:r w:rsidRPr="00AF4430">
              <w:t xml:space="preserve">  12 548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-  1 964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30" w:rsidRPr="00AF4430" w:rsidRDefault="00AF4430" w:rsidP="00AF4430">
            <w:pPr>
              <w:jc w:val="center"/>
            </w:pPr>
            <w:r w:rsidRPr="00AF4430">
              <w:t>100,00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30" w:rsidRPr="00AF4430" w:rsidRDefault="00AF4430" w:rsidP="00AF4430">
            <w:r w:rsidRPr="00AF4430">
              <w:t> </w:t>
            </w:r>
          </w:p>
        </w:tc>
      </w:tr>
    </w:tbl>
    <w:p w:rsidR="00AF4430" w:rsidRDefault="00AF4430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2497F" w:rsidRPr="00E75473" w:rsidRDefault="008C09F7" w:rsidP="0072497F">
      <w:pPr>
        <w:ind w:firstLine="708"/>
        <w:jc w:val="both"/>
      </w:pPr>
      <w:r w:rsidRPr="00E75473">
        <w:t>В с</w:t>
      </w:r>
      <w:r w:rsidR="00E4243B" w:rsidRPr="00E75473">
        <w:t>труктур</w:t>
      </w:r>
      <w:r w:rsidRPr="00E75473">
        <w:t xml:space="preserve">е выявленных нарушений основной удельный вес составили </w:t>
      </w:r>
      <w:r w:rsidR="0072497F" w:rsidRPr="00E75473">
        <w:t xml:space="preserve">нарушения, связанные с отсутствием в документации (несоблюдением требований  к оформлению) информированного добровольного согласия застрахованного лица на медицинское вмешательство </w:t>
      </w:r>
      <w:r w:rsidR="00E75473" w:rsidRPr="00E75473">
        <w:t xml:space="preserve">   </w:t>
      </w:r>
      <w:r w:rsidR="0072497F" w:rsidRPr="00E75473">
        <w:t xml:space="preserve">или отказа застрахованного лица  от медицинского вмешательства </w:t>
      </w:r>
      <w:r w:rsidR="00E75473" w:rsidRPr="00E75473">
        <w:t xml:space="preserve">- </w:t>
      </w:r>
      <w:r w:rsidR="0072497F" w:rsidRPr="00E75473">
        <w:t xml:space="preserve">49,46 %, непредставлением первичной медицинской документации, подтверждающей факт оказания застрахованному лицу медицинской помощи, </w:t>
      </w:r>
      <w:r w:rsidR="00E75473">
        <w:t xml:space="preserve"> - </w:t>
      </w:r>
      <w:r w:rsidR="0072497F" w:rsidRPr="00E75473">
        <w:t>27,04 %, несоответствием данных медицинской документации данным реестра счетов</w:t>
      </w:r>
      <w:r w:rsidR="00E75473">
        <w:t>, -</w:t>
      </w:r>
      <w:r w:rsidR="0072497F" w:rsidRPr="00E75473">
        <w:t xml:space="preserve"> 14,47 %.</w:t>
      </w:r>
    </w:p>
    <w:p w:rsidR="00864C0A" w:rsidRPr="00E75473" w:rsidRDefault="0072497F" w:rsidP="008C09F7">
      <w:pPr>
        <w:ind w:firstLine="708"/>
        <w:jc w:val="both"/>
      </w:pPr>
      <w:r w:rsidRPr="00E75473">
        <w:t>В 2022 году п</w:t>
      </w:r>
      <w:r w:rsidR="0044248A" w:rsidRPr="00E75473">
        <w:t>реоблада</w:t>
      </w:r>
      <w:r w:rsidRPr="00E75473">
        <w:t xml:space="preserve">ли </w:t>
      </w:r>
      <w:r w:rsidR="008600AC" w:rsidRPr="00E75473">
        <w:t>нарушени</w:t>
      </w:r>
      <w:r w:rsidR="0044248A" w:rsidRPr="00E75473">
        <w:t>я</w:t>
      </w:r>
      <w:r w:rsidR="008600AC" w:rsidRPr="00E75473">
        <w:t>, связанны</w:t>
      </w:r>
      <w:r w:rsidR="0044248A" w:rsidRPr="00E75473">
        <w:t xml:space="preserve">е с прочими нарушениями, входящими в Перечень </w:t>
      </w:r>
      <w:r w:rsidR="009A7288" w:rsidRPr="00E75473">
        <w:t>оснований для</w:t>
      </w:r>
      <w:r w:rsidR="006141EF">
        <w:t xml:space="preserve"> отказа в </w:t>
      </w:r>
      <w:r w:rsidR="009A7288" w:rsidRPr="00E75473">
        <w:t>оплат</w:t>
      </w:r>
      <w:r w:rsidR="006141EF">
        <w:t xml:space="preserve">е </w:t>
      </w:r>
      <w:r w:rsidR="006141EF" w:rsidRPr="00F82455">
        <w:t>медицинской помощи</w:t>
      </w:r>
      <w:r w:rsidR="006141EF" w:rsidRPr="00AF4430">
        <w:t xml:space="preserve"> </w:t>
      </w:r>
      <w:r w:rsidR="006141EF">
        <w:t xml:space="preserve"> </w:t>
      </w:r>
      <w:r w:rsidR="009A7288" w:rsidRPr="00E75473">
        <w:t xml:space="preserve"> </w:t>
      </w:r>
      <w:r w:rsidR="0044248A" w:rsidRPr="00E75473">
        <w:t xml:space="preserve">(в основном это нарушения, связанные с нарушением при оказании медицинской помощи) – </w:t>
      </w:r>
      <w:r w:rsidR="00313616" w:rsidRPr="00E75473">
        <w:t>63,</w:t>
      </w:r>
      <w:r w:rsidRPr="00E75473">
        <w:t>76</w:t>
      </w:r>
      <w:r w:rsidR="00313616" w:rsidRPr="00E75473">
        <w:t xml:space="preserve"> </w:t>
      </w:r>
      <w:r w:rsidRPr="00E75473">
        <w:t xml:space="preserve"> %</w:t>
      </w:r>
      <w:r w:rsidR="00DF7482" w:rsidRPr="00E75473">
        <w:t xml:space="preserve">, и связанные с </w:t>
      </w:r>
      <w:r w:rsidR="0044248A" w:rsidRPr="00E75473">
        <w:t xml:space="preserve">  </w:t>
      </w:r>
      <w:r w:rsidR="008600AC" w:rsidRPr="00E75473">
        <w:t xml:space="preserve"> непредставление</w:t>
      </w:r>
      <w:r w:rsidR="00DF7482" w:rsidRPr="00E75473">
        <w:t xml:space="preserve">м </w:t>
      </w:r>
      <w:r w:rsidR="008600AC" w:rsidRPr="00E75473">
        <w:t xml:space="preserve"> пер</w:t>
      </w:r>
      <w:r w:rsidR="0044248A" w:rsidRPr="00E75473">
        <w:t>вичной медицинской  документации, подтверждающей ф</w:t>
      </w:r>
      <w:r w:rsidR="00DF7482" w:rsidRPr="00E75473">
        <w:t xml:space="preserve">акт оказания медицинской помощи, </w:t>
      </w:r>
      <w:r w:rsidR="008600AC" w:rsidRPr="00E75473">
        <w:t xml:space="preserve">– </w:t>
      </w:r>
      <w:r w:rsidRPr="00E75473">
        <w:t>32,98</w:t>
      </w:r>
      <w:r w:rsidR="00313616" w:rsidRPr="00E75473">
        <w:t xml:space="preserve"> </w:t>
      </w:r>
      <w:r w:rsidRPr="00E75473">
        <w:t>%</w:t>
      </w:r>
      <w:r w:rsidR="008600AC" w:rsidRPr="00E75473">
        <w:t xml:space="preserve">. </w:t>
      </w:r>
    </w:p>
    <w:p w:rsidR="008600AC" w:rsidRPr="00F82455" w:rsidRDefault="008600AC" w:rsidP="008600AC">
      <w:pPr>
        <w:jc w:val="both"/>
      </w:pPr>
    </w:p>
    <w:p w:rsidR="008600AC" w:rsidRPr="00F82455" w:rsidRDefault="008600AC" w:rsidP="0075749D">
      <w:pPr>
        <w:ind w:left="67" w:firstLine="720"/>
        <w:jc w:val="center"/>
      </w:pPr>
      <w:r w:rsidRPr="00F82455">
        <w:t>Результаты  экспертизы качества медицинской помощи</w:t>
      </w:r>
    </w:p>
    <w:p w:rsidR="00663F6E" w:rsidRDefault="00663F6E" w:rsidP="00663F6E">
      <w:pPr>
        <w:ind w:left="68" w:firstLine="640"/>
        <w:jc w:val="both"/>
      </w:pPr>
    </w:p>
    <w:p w:rsidR="0072259B" w:rsidRDefault="00663F6E" w:rsidP="00663F6E">
      <w:pPr>
        <w:ind w:left="68" w:firstLine="640"/>
        <w:jc w:val="both"/>
      </w:pPr>
      <w:r w:rsidRPr="00F82455">
        <w:t>По итогам 202</w:t>
      </w:r>
      <w:r w:rsidR="00ED5765">
        <w:t>3</w:t>
      </w:r>
      <w:r w:rsidRPr="00F82455">
        <w:t xml:space="preserve"> года ТФОМС РК и СМО  проведена экспертиза качества медицинской помощи  </w:t>
      </w:r>
      <w:r w:rsidR="000A6CE7">
        <w:t xml:space="preserve">7 161 </w:t>
      </w:r>
      <w:r w:rsidRPr="00F82455">
        <w:t xml:space="preserve"> страхов</w:t>
      </w:r>
      <w:r w:rsidR="00C013C9">
        <w:t xml:space="preserve">ого </w:t>
      </w:r>
      <w:r w:rsidRPr="00F82455">
        <w:t>случа</w:t>
      </w:r>
      <w:r w:rsidR="00C013C9">
        <w:t>я</w:t>
      </w:r>
      <w:r w:rsidRPr="00F82455">
        <w:t xml:space="preserve">, что на </w:t>
      </w:r>
      <w:r w:rsidR="000A6CE7">
        <w:t>1</w:t>
      </w:r>
      <w:r w:rsidR="006141EF">
        <w:t xml:space="preserve"> </w:t>
      </w:r>
      <w:r w:rsidR="000A6CE7">
        <w:t>995</w:t>
      </w:r>
      <w:r w:rsidR="006141EF">
        <w:t xml:space="preserve"> (21,2 %) </w:t>
      </w:r>
      <w:r w:rsidR="000A6CE7">
        <w:t xml:space="preserve"> </w:t>
      </w:r>
      <w:r w:rsidRPr="00F82455">
        <w:t>случаев меньше, чем в 202</w:t>
      </w:r>
      <w:r w:rsidR="000A6CE7">
        <w:t>2</w:t>
      </w:r>
      <w:r w:rsidRPr="00F82455">
        <w:t xml:space="preserve"> году  (202</w:t>
      </w:r>
      <w:r w:rsidR="005249F8">
        <w:t>2</w:t>
      </w:r>
      <w:r w:rsidRPr="00F82455">
        <w:t xml:space="preserve">г. – </w:t>
      </w:r>
      <w:r w:rsidR="005249F8">
        <w:t>9 156</w:t>
      </w:r>
      <w:r w:rsidRPr="00F82455">
        <w:t xml:space="preserve">).  СМО проведено </w:t>
      </w:r>
      <w:r w:rsidR="000B08F7">
        <w:t>7</w:t>
      </w:r>
      <w:r w:rsidR="006141EF">
        <w:t> </w:t>
      </w:r>
      <w:r w:rsidR="000B08F7">
        <w:t>119</w:t>
      </w:r>
      <w:r w:rsidR="006141EF">
        <w:t xml:space="preserve"> (</w:t>
      </w:r>
      <w:r w:rsidRPr="00F82455">
        <w:t>9</w:t>
      </w:r>
      <w:r w:rsidR="000B08F7">
        <w:t xml:space="preserve">9,4 </w:t>
      </w:r>
      <w:r w:rsidRPr="00F82455">
        <w:t>%</w:t>
      </w:r>
      <w:r w:rsidR="006141EF">
        <w:t>) эксп</w:t>
      </w:r>
      <w:r w:rsidRPr="00F82455">
        <w:t xml:space="preserve">ертиз, ТФОМС РК </w:t>
      </w:r>
      <w:r w:rsidR="006141EF">
        <w:t>-</w:t>
      </w:r>
      <w:r w:rsidR="000B08F7">
        <w:t xml:space="preserve">42 </w:t>
      </w:r>
      <w:r w:rsidR="006141EF">
        <w:t xml:space="preserve"> (</w:t>
      </w:r>
      <w:r w:rsidR="000B08F7">
        <w:t>0,6</w:t>
      </w:r>
      <w:r w:rsidRPr="00F82455">
        <w:t xml:space="preserve"> %</w:t>
      </w:r>
      <w:r w:rsidR="006141EF">
        <w:t>)</w:t>
      </w:r>
      <w:r w:rsidRPr="00F82455">
        <w:t xml:space="preserve">. </w:t>
      </w:r>
    </w:p>
    <w:p w:rsidR="0072259B" w:rsidRDefault="000B08F7" w:rsidP="00663F6E">
      <w:pPr>
        <w:ind w:left="68" w:firstLine="640"/>
        <w:jc w:val="both"/>
      </w:pPr>
      <w:r>
        <w:t xml:space="preserve">Количество </w:t>
      </w:r>
      <w:r w:rsidR="0072259B" w:rsidRPr="0072259B">
        <w:t xml:space="preserve">страховых случаев, подвергшихся </w:t>
      </w:r>
      <w:r>
        <w:t>в</w:t>
      </w:r>
      <w:r w:rsidR="00663F6E" w:rsidRPr="00F82455">
        <w:t>неплановы</w:t>
      </w:r>
      <w:r w:rsidR="0072259B">
        <w:t>м</w:t>
      </w:r>
      <w:r w:rsidR="00663F6E" w:rsidRPr="00F82455">
        <w:t xml:space="preserve"> </w:t>
      </w:r>
      <w:r>
        <w:t xml:space="preserve"> </w:t>
      </w:r>
      <w:r w:rsidR="00663F6E" w:rsidRPr="00F82455">
        <w:t>ЭКМП составил</w:t>
      </w:r>
      <w:r>
        <w:t>о</w:t>
      </w:r>
      <w:r w:rsidR="00663F6E" w:rsidRPr="00F82455">
        <w:t xml:space="preserve">  </w:t>
      </w:r>
      <w:r>
        <w:t>5</w:t>
      </w:r>
      <w:r w:rsidR="00C00F13">
        <w:t> </w:t>
      </w:r>
      <w:r>
        <w:t>709</w:t>
      </w:r>
      <w:r w:rsidR="00C00F13">
        <w:t>,</w:t>
      </w:r>
      <w:r>
        <w:t xml:space="preserve"> </w:t>
      </w:r>
      <w:r w:rsidR="00663F6E" w:rsidRPr="00F82455">
        <w:t xml:space="preserve">или  </w:t>
      </w:r>
      <w:r>
        <w:t xml:space="preserve">79,7 </w:t>
      </w:r>
      <w:r w:rsidR="00663F6E" w:rsidRPr="00F82455">
        <w:t xml:space="preserve"> % от общего числа экспертиз</w:t>
      </w:r>
      <w:r>
        <w:t xml:space="preserve">, </w:t>
      </w:r>
      <w:r w:rsidR="00663F6E" w:rsidRPr="00F82455">
        <w:t xml:space="preserve"> по сравнению с 202</w:t>
      </w:r>
      <w:r>
        <w:t>2</w:t>
      </w:r>
      <w:r w:rsidR="00663F6E" w:rsidRPr="00F82455">
        <w:t xml:space="preserve">  годом у</w:t>
      </w:r>
      <w:r>
        <w:t>меньшилось на 3</w:t>
      </w:r>
      <w:r w:rsidR="006141EF">
        <w:t xml:space="preserve"> </w:t>
      </w:r>
      <w:r>
        <w:t xml:space="preserve">028 </w:t>
      </w:r>
      <w:r w:rsidR="00663F6E" w:rsidRPr="00F82455">
        <w:t xml:space="preserve">экспертиз или на </w:t>
      </w:r>
      <w:r>
        <w:t xml:space="preserve">34,7 </w:t>
      </w:r>
      <w:r w:rsidR="00663F6E" w:rsidRPr="00F82455">
        <w:t xml:space="preserve"> %  (в 202</w:t>
      </w:r>
      <w:r>
        <w:t>2</w:t>
      </w:r>
      <w:r w:rsidR="00663F6E" w:rsidRPr="00F82455">
        <w:t xml:space="preserve"> году</w:t>
      </w:r>
      <w:r w:rsidR="006141EF" w:rsidRPr="006141EF">
        <w:t xml:space="preserve"> </w:t>
      </w:r>
      <w:r w:rsidR="006141EF">
        <w:t>в</w:t>
      </w:r>
      <w:r w:rsidR="006141EF" w:rsidRPr="00F82455">
        <w:t>неплановы</w:t>
      </w:r>
      <w:r w:rsidR="006141EF">
        <w:t xml:space="preserve">е  </w:t>
      </w:r>
      <w:r w:rsidR="006141EF" w:rsidRPr="00F82455">
        <w:t>ЭКМП</w:t>
      </w:r>
      <w:r w:rsidR="00663F6E" w:rsidRPr="00F82455">
        <w:t xml:space="preserve"> </w:t>
      </w:r>
      <w:r w:rsidR="006141EF">
        <w:t xml:space="preserve">составили </w:t>
      </w:r>
      <w:r>
        <w:t xml:space="preserve"> </w:t>
      </w:r>
      <w:r w:rsidRPr="00F82455">
        <w:t>8</w:t>
      </w:r>
      <w:r w:rsidR="006141EF">
        <w:t> </w:t>
      </w:r>
      <w:r w:rsidRPr="00F82455">
        <w:t>737  или  95,4  %</w:t>
      </w:r>
      <w:r>
        <w:t xml:space="preserve"> </w:t>
      </w:r>
      <w:r w:rsidR="00663F6E" w:rsidRPr="00F82455">
        <w:t xml:space="preserve">от общего числа экспертиз).  </w:t>
      </w:r>
    </w:p>
    <w:p w:rsidR="0072259B" w:rsidRDefault="0072259B" w:rsidP="00663F6E">
      <w:pPr>
        <w:ind w:left="68" w:firstLine="640"/>
        <w:jc w:val="both"/>
      </w:pPr>
      <w:r w:rsidRPr="0072259B">
        <w:t>Количество страховых случаев, подвергшихся мультидисциплинарной ЭКМП,</w:t>
      </w:r>
      <w:r>
        <w:t xml:space="preserve"> составило 220 или 3,1 % </w:t>
      </w:r>
      <w:r w:rsidRPr="00F82455">
        <w:t>от общего числа экспертиз</w:t>
      </w:r>
      <w:r w:rsidR="00984E38">
        <w:t>.</w:t>
      </w:r>
    </w:p>
    <w:p w:rsidR="0072259B" w:rsidRDefault="00984E38" w:rsidP="0072259B">
      <w:pPr>
        <w:ind w:firstLine="708"/>
        <w:contextualSpacing/>
        <w:jc w:val="both"/>
      </w:pPr>
      <w:r>
        <w:lastRenderedPageBreak/>
        <w:t>П</w:t>
      </w:r>
      <w:r w:rsidR="0072259B">
        <w:t xml:space="preserve">роведены </w:t>
      </w:r>
      <w:r w:rsidR="00C00F13">
        <w:t>ЭКМП 1 640 (</w:t>
      </w:r>
      <w:r>
        <w:t xml:space="preserve">22,9 %) случаев </w:t>
      </w:r>
      <w:r w:rsidRPr="00F82455">
        <w:t>оказани</w:t>
      </w:r>
      <w:r>
        <w:t>я</w:t>
      </w:r>
      <w:r w:rsidRPr="00F82455">
        <w:t xml:space="preserve"> медицинской помощи</w:t>
      </w:r>
      <w:r>
        <w:t xml:space="preserve"> застрахованным лицам  с  болезнями системы кровообращения</w:t>
      </w:r>
      <w:r w:rsidR="0072259B">
        <w:t xml:space="preserve">;  </w:t>
      </w:r>
      <w:r w:rsidR="00C00F13">
        <w:t xml:space="preserve"> 462 (</w:t>
      </w:r>
      <w:r>
        <w:t>6,5 %) случа</w:t>
      </w:r>
      <w:r w:rsidR="00C013C9">
        <w:t>я</w:t>
      </w:r>
      <w:r>
        <w:t xml:space="preserve"> летальных исходов;  436 (или 6,1 %) </w:t>
      </w:r>
      <w:r w:rsidR="0072259B">
        <w:t xml:space="preserve"> </w:t>
      </w:r>
      <w:r>
        <w:t>слу</w:t>
      </w:r>
      <w:r w:rsidR="00C00F13">
        <w:t>чаев диспансеризации;  379 (</w:t>
      </w:r>
      <w:r>
        <w:t>5,3 %) случаев</w:t>
      </w:r>
      <w:r w:rsidRPr="00B930EE">
        <w:t xml:space="preserve"> </w:t>
      </w:r>
      <w:r w:rsidRPr="00F82455">
        <w:t>оказание медицинской помощи</w:t>
      </w:r>
      <w:r>
        <w:t xml:space="preserve"> застрахованным лицам  с </w:t>
      </w:r>
      <w:r w:rsidRPr="00B930EE">
        <w:t>хронически</w:t>
      </w:r>
      <w:r>
        <w:t xml:space="preserve">ми </w:t>
      </w:r>
      <w:r w:rsidRPr="00B930EE">
        <w:t>заболевания</w:t>
      </w:r>
      <w:r>
        <w:t>ми, функциональными</w:t>
      </w:r>
      <w:r w:rsidRPr="00B930EE">
        <w:t xml:space="preserve"> расстройства</w:t>
      </w:r>
      <w:r>
        <w:t>ми</w:t>
      </w:r>
      <w:r w:rsidRPr="00B930EE">
        <w:t>, при наличии которых устанавливается диспансерное наблюдение</w:t>
      </w:r>
      <w:r w:rsidR="00C00F13">
        <w:t>; 365 (</w:t>
      </w:r>
      <w:r>
        <w:t xml:space="preserve">5,1 %)  случаев </w:t>
      </w:r>
      <w:r w:rsidRPr="00F82455">
        <w:t>оказани</w:t>
      </w:r>
      <w:r>
        <w:t>я</w:t>
      </w:r>
      <w:r w:rsidRPr="00F82455">
        <w:t xml:space="preserve"> медицинской помощи</w:t>
      </w:r>
      <w:r>
        <w:t xml:space="preserve"> застрахованным лицам с онкологическими заболеваниями; 290 </w:t>
      </w:r>
      <w:r w:rsidR="00B90A48">
        <w:t xml:space="preserve"> (</w:t>
      </w:r>
      <w:r>
        <w:t>4,0</w:t>
      </w:r>
      <w:r w:rsidR="0072259B">
        <w:t xml:space="preserve"> %)  </w:t>
      </w:r>
      <w:r w:rsidR="009A4134">
        <w:t xml:space="preserve">случаев </w:t>
      </w:r>
      <w:r w:rsidR="0072259B">
        <w:t xml:space="preserve"> диспансерного наблюдения;</w:t>
      </w:r>
      <w:r w:rsidR="009A4134">
        <w:t xml:space="preserve"> 38 </w:t>
      </w:r>
      <w:r w:rsidR="0072259B">
        <w:t>(или 0,</w:t>
      </w:r>
      <w:r w:rsidR="009A4134">
        <w:t>5</w:t>
      </w:r>
      <w:r w:rsidR="0072259B">
        <w:t xml:space="preserve"> %) случа</w:t>
      </w:r>
      <w:r w:rsidR="009A4134">
        <w:t xml:space="preserve">ев </w:t>
      </w:r>
      <w:r w:rsidR="00C013C9">
        <w:t>оказания</w:t>
      </w:r>
      <w:r w:rsidR="0072259B" w:rsidRPr="00F82455">
        <w:t xml:space="preserve"> медицинской помощи</w:t>
      </w:r>
      <w:r w:rsidR="0072259B">
        <w:t xml:space="preserve"> застрахованным лицам  с новой коронавирусной инфекцией; </w:t>
      </w:r>
      <w:r w:rsidR="009A4134">
        <w:t xml:space="preserve">5 </w:t>
      </w:r>
      <w:r w:rsidR="00B90A48">
        <w:t>(</w:t>
      </w:r>
      <w:r w:rsidR="0072259B">
        <w:t>0,1 %) случа</w:t>
      </w:r>
      <w:r w:rsidR="009A4134">
        <w:t xml:space="preserve">ев в связи с поступлением </w:t>
      </w:r>
      <w:r w:rsidR="0072259B">
        <w:t xml:space="preserve"> </w:t>
      </w:r>
      <w:r w:rsidR="0072259B" w:rsidRPr="00F82455">
        <w:t>жалоб</w:t>
      </w:r>
      <w:r w:rsidR="0072259B">
        <w:t xml:space="preserve"> </w:t>
      </w:r>
      <w:r w:rsidR="0072259B" w:rsidRPr="00F82455">
        <w:t>от застрахованн</w:t>
      </w:r>
      <w:r w:rsidR="0072259B">
        <w:t xml:space="preserve">ых </w:t>
      </w:r>
      <w:r w:rsidR="0072259B" w:rsidRPr="00F82455">
        <w:t xml:space="preserve">лиц или </w:t>
      </w:r>
      <w:r w:rsidR="0072259B">
        <w:t>их представителей.</w:t>
      </w:r>
    </w:p>
    <w:p w:rsidR="008600AC" w:rsidRPr="00F82455" w:rsidRDefault="008731F4" w:rsidP="008731F4">
      <w:pPr>
        <w:ind w:left="68" w:firstLine="640"/>
        <w:contextualSpacing/>
        <w:jc w:val="both"/>
      </w:pPr>
      <w:r w:rsidRPr="00F82455">
        <w:t xml:space="preserve">ЭКМП страховых случаев амбулаторной помощи составили 9 406 или 60,8 % от общего числа экспертиз; стационарной помощи составили 3 547 или 22,9 % от общего числа экспертиз; скорой МП 1779 или 11,5 % от общего числа экспертиз; стационарозамещающей помощи </w:t>
      </w:r>
      <w:r w:rsidR="00155D5D" w:rsidRPr="00F82455">
        <w:t xml:space="preserve">737 или 4,8 % от общего числа экспертиз. </w:t>
      </w:r>
      <w:r w:rsidR="008600AC" w:rsidRPr="00F82455">
        <w:t xml:space="preserve"> </w:t>
      </w:r>
    </w:p>
    <w:p w:rsidR="00945B8C" w:rsidRPr="00F82455" w:rsidRDefault="00945B8C" w:rsidP="00945B8C">
      <w:pPr>
        <w:contextualSpacing/>
        <w:jc w:val="center"/>
      </w:pPr>
    </w:p>
    <w:p w:rsidR="00F35DC2" w:rsidRDefault="00F35DC2" w:rsidP="00F35DC2">
      <w:pPr>
        <w:jc w:val="center"/>
      </w:pPr>
      <w:r>
        <w:t xml:space="preserve">Результаты проведенных ТФОМС РК и СМО </w:t>
      </w:r>
    </w:p>
    <w:p w:rsidR="00F35DC2" w:rsidRPr="00F82455" w:rsidRDefault="008564C4" w:rsidP="00F35DC2">
      <w:pPr>
        <w:jc w:val="center"/>
      </w:pPr>
      <w:r>
        <w:t>э</w:t>
      </w:r>
      <w:r w:rsidR="00F35DC2">
        <w:t>кспертиз</w:t>
      </w:r>
      <w:r>
        <w:t xml:space="preserve"> </w:t>
      </w:r>
      <w:r w:rsidR="00F35DC2">
        <w:t xml:space="preserve"> </w:t>
      </w:r>
      <w:r>
        <w:t xml:space="preserve">качества медицинской помощи </w:t>
      </w:r>
      <w:r w:rsidR="00F35DC2">
        <w:t xml:space="preserve"> </w:t>
      </w:r>
      <w:r w:rsidR="00F35DC2" w:rsidRPr="00F82455">
        <w:t>в 20</w:t>
      </w:r>
      <w:r w:rsidR="00F35DC2">
        <w:t>22-</w:t>
      </w:r>
      <w:r w:rsidR="00F35DC2" w:rsidRPr="00F82455">
        <w:t>2</w:t>
      </w:r>
      <w:r w:rsidR="00F35DC2">
        <w:t>3гг.</w:t>
      </w:r>
    </w:p>
    <w:p w:rsidR="00945B8C" w:rsidRDefault="00945B8C" w:rsidP="00945B8C">
      <w:pPr>
        <w:jc w:val="right"/>
      </w:pPr>
      <w:r w:rsidRPr="00F82455">
        <w:t>Таблица №</w:t>
      </w:r>
      <w:r w:rsidR="00B90A48">
        <w:t xml:space="preserve"> 5</w:t>
      </w:r>
      <w:r w:rsidR="00F35DC2">
        <w:t xml:space="preserve"> </w:t>
      </w:r>
    </w:p>
    <w:tbl>
      <w:tblPr>
        <w:tblW w:w="9260" w:type="dxa"/>
        <w:tblInd w:w="95" w:type="dxa"/>
        <w:tblLook w:val="04A0"/>
      </w:tblPr>
      <w:tblGrid>
        <w:gridCol w:w="1894"/>
        <w:gridCol w:w="1137"/>
        <w:gridCol w:w="829"/>
        <w:gridCol w:w="1457"/>
        <w:gridCol w:w="1444"/>
        <w:gridCol w:w="1292"/>
        <w:gridCol w:w="1424"/>
      </w:tblGrid>
      <w:tr w:rsidR="00F35DC2" w:rsidRPr="00F35DC2" w:rsidTr="00F35DC2">
        <w:trPr>
          <w:trHeight w:val="63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B90A48" w:rsidP="00F35DC2">
            <w:pPr>
              <w:jc w:val="center"/>
            </w:pPr>
            <w:r>
              <w:t>Н</w:t>
            </w:r>
            <w:r w:rsidR="00F35DC2" w:rsidRPr="00F35DC2">
              <w:t>аименование показателя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B90A48" w:rsidP="00F35DC2">
            <w:pPr>
              <w:jc w:val="center"/>
            </w:pPr>
            <w:r>
              <w:t>Г</w:t>
            </w:r>
            <w:r w:rsidR="00F35DC2" w:rsidRPr="00F35DC2">
              <w:t>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Всего: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в том числе по медицинской помощи, оказанной:</w:t>
            </w:r>
          </w:p>
        </w:tc>
      </w:tr>
      <w:tr w:rsidR="00F35DC2" w:rsidRPr="00F35DC2" w:rsidTr="00F35DC2">
        <w:trPr>
          <w:trHeight w:val="159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C2" w:rsidRPr="00F35DC2" w:rsidRDefault="00F35DC2" w:rsidP="00F35D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C2" w:rsidRPr="00F35DC2" w:rsidRDefault="00F35DC2" w:rsidP="00F35DC2"/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C2" w:rsidRPr="00F35DC2" w:rsidRDefault="00F35DC2" w:rsidP="00F35DC2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скорая медицинская помощь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амбулаторно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в дневном стационаре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стационарно</w:t>
            </w:r>
          </w:p>
        </w:tc>
      </w:tr>
      <w:tr w:rsidR="00F35DC2" w:rsidRPr="00F35DC2" w:rsidTr="00F35DC2">
        <w:trPr>
          <w:trHeight w:val="52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B90A48" w:rsidP="00B90A48">
            <w:pPr>
              <w:jc w:val="both"/>
            </w:pPr>
            <w:r>
              <w:t>К</w:t>
            </w:r>
            <w:r w:rsidR="00F35DC2" w:rsidRPr="00F35DC2">
              <w:t>оличество ЭКМП страховых случаев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2023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7161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846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3956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460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1899</w:t>
            </w:r>
          </w:p>
        </w:tc>
      </w:tr>
      <w:tr w:rsidR="00F35DC2" w:rsidRPr="00F35DC2" w:rsidTr="00F35DC2">
        <w:trPr>
          <w:trHeight w:val="67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C2" w:rsidRPr="00F35DC2" w:rsidRDefault="00F35DC2" w:rsidP="00B90A48">
            <w:pPr>
              <w:jc w:val="both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9156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1434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4308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284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3130</w:t>
            </w:r>
          </w:p>
        </w:tc>
      </w:tr>
      <w:tr w:rsidR="00F35DC2" w:rsidRPr="00F35DC2" w:rsidTr="00F35DC2">
        <w:trPr>
          <w:trHeight w:val="67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C2" w:rsidRPr="00F35DC2" w:rsidRDefault="00F35DC2" w:rsidP="00B90A48">
            <w:pPr>
              <w:jc w:val="both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динамика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-1995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-588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-352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176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-1231</w:t>
            </w:r>
          </w:p>
        </w:tc>
      </w:tr>
      <w:tr w:rsidR="00F35DC2" w:rsidRPr="00F35DC2" w:rsidTr="00F35DC2">
        <w:trPr>
          <w:trHeight w:val="67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B90A48" w:rsidP="00B90A48">
            <w:pPr>
              <w:jc w:val="both"/>
            </w:pPr>
            <w:r>
              <w:t>К</w:t>
            </w:r>
            <w:r w:rsidR="00F35DC2" w:rsidRPr="00F35DC2">
              <w:t>оличество страховых случаев, содержащих  нарушения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2023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4027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231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2421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293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1082</w:t>
            </w:r>
          </w:p>
        </w:tc>
      </w:tr>
      <w:tr w:rsidR="00F35DC2" w:rsidRPr="00F35DC2" w:rsidTr="00F35DC2">
        <w:trPr>
          <w:trHeight w:val="118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C2" w:rsidRPr="00F35DC2" w:rsidRDefault="00F35DC2" w:rsidP="00B90A48">
            <w:pPr>
              <w:jc w:val="both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3825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142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1762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123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1798</w:t>
            </w:r>
          </w:p>
        </w:tc>
      </w:tr>
      <w:tr w:rsidR="00F35DC2" w:rsidRPr="00F35DC2" w:rsidTr="00F35DC2">
        <w:trPr>
          <w:trHeight w:val="118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C2" w:rsidRPr="00F35DC2" w:rsidRDefault="00F35DC2" w:rsidP="00B90A48">
            <w:pPr>
              <w:jc w:val="both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динамика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89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659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170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-716</w:t>
            </w:r>
          </w:p>
        </w:tc>
      </w:tr>
      <w:tr w:rsidR="00F35DC2" w:rsidRPr="00F35DC2" w:rsidTr="00F35DC2">
        <w:trPr>
          <w:trHeight w:val="118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075EC" w:rsidP="00F075EC">
            <w:pPr>
              <w:jc w:val="both"/>
            </w:pPr>
            <w:r>
              <w:t xml:space="preserve">Доля </w:t>
            </w:r>
            <w:r w:rsidR="00F35DC2" w:rsidRPr="00F35DC2">
              <w:t>случаев, содержащих нарушения, 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2023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56,2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27,3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61,2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63,7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57,0</w:t>
            </w:r>
          </w:p>
        </w:tc>
      </w:tr>
      <w:tr w:rsidR="00F35DC2" w:rsidRPr="00F35DC2" w:rsidTr="00F35DC2">
        <w:trPr>
          <w:trHeight w:val="28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C2" w:rsidRPr="00F35DC2" w:rsidRDefault="00F35DC2" w:rsidP="00B90A48">
            <w:pPr>
              <w:jc w:val="both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41,8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9,9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40,9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43,3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57,4</w:t>
            </w:r>
          </w:p>
        </w:tc>
      </w:tr>
      <w:tr w:rsidR="00F35DC2" w:rsidRPr="00F35DC2" w:rsidTr="00F35DC2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C2" w:rsidRPr="00F35DC2" w:rsidRDefault="00F35DC2" w:rsidP="00B90A48">
            <w:pPr>
              <w:jc w:val="both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C2" w:rsidRPr="00F35DC2" w:rsidRDefault="00F35DC2" w:rsidP="00F35DC2">
            <w:pPr>
              <w:jc w:val="center"/>
            </w:pPr>
            <w:r w:rsidRPr="00F35DC2">
              <w:t>динамика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14,5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17,4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20,4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C2" w:rsidRPr="00F35DC2" w:rsidRDefault="00F35DC2" w:rsidP="00F35D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5DC2">
              <w:rPr>
                <w:rFonts w:ascii="Calibri" w:hAnsi="Calibri"/>
                <w:sz w:val="22"/>
                <w:szCs w:val="22"/>
              </w:rPr>
              <w:t>-0,</w:t>
            </w:r>
            <w:r w:rsidR="007644AB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:rsidR="00F35DC2" w:rsidRDefault="00F35DC2" w:rsidP="00945B8C">
      <w:pPr>
        <w:jc w:val="right"/>
      </w:pPr>
    </w:p>
    <w:p w:rsidR="000E3CB6" w:rsidRDefault="00085576" w:rsidP="00085576">
      <w:pPr>
        <w:ind w:left="68" w:firstLine="640"/>
        <w:jc w:val="both"/>
      </w:pPr>
      <w:r w:rsidRPr="00F82455">
        <w:lastRenderedPageBreak/>
        <w:t>По сравнению с 202</w:t>
      </w:r>
      <w:r w:rsidR="008564C4">
        <w:t xml:space="preserve">2 годом отмечено увеличение </w:t>
      </w:r>
      <w:r w:rsidR="00F075EC">
        <w:t xml:space="preserve">доли </w:t>
      </w:r>
      <w:r w:rsidR="008564C4">
        <w:t>случаев, содержащих нарушения, с 41,8 % до 56,2 %</w:t>
      </w:r>
      <w:r w:rsidR="00B90A48">
        <w:t xml:space="preserve">, в том числе </w:t>
      </w:r>
      <w:r w:rsidR="000A5C2E" w:rsidRPr="00F82455">
        <w:t>стационар</w:t>
      </w:r>
      <w:r w:rsidR="000A5C2E">
        <w:t xml:space="preserve">озамещающей помощи </w:t>
      </w:r>
      <w:r w:rsidR="000E3CB6">
        <w:t xml:space="preserve">с 43,3 % до 63,7 %, амбулаторной помощи </w:t>
      </w:r>
      <w:r w:rsidR="000A5C2E">
        <w:t xml:space="preserve">с 40,9 % до 61,2 %, </w:t>
      </w:r>
      <w:r w:rsidR="008564C4">
        <w:t xml:space="preserve"> </w:t>
      </w:r>
      <w:r w:rsidR="000E3CB6">
        <w:t xml:space="preserve"> и скорой медицинской помощи с 9,9 % до 17,4 %.</w:t>
      </w:r>
    </w:p>
    <w:p w:rsidR="008600AC" w:rsidRPr="00F82455" w:rsidRDefault="008600AC" w:rsidP="008600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0AC" w:rsidRPr="00F82455" w:rsidRDefault="008600AC" w:rsidP="008600AC">
      <w:pPr>
        <w:jc w:val="center"/>
      </w:pPr>
      <w:r w:rsidRPr="00F82455">
        <w:t xml:space="preserve">Структура нарушений, выявленных </w:t>
      </w:r>
      <w:r w:rsidR="000E3CB6">
        <w:t xml:space="preserve">ТФОМС РК и СМО, </w:t>
      </w:r>
      <w:r w:rsidRPr="00F82455">
        <w:t xml:space="preserve">по результатам экспертизы качества медицинской помощи в </w:t>
      </w:r>
      <w:r w:rsidR="00997FE2" w:rsidRPr="00F82455">
        <w:t>20</w:t>
      </w:r>
      <w:r w:rsidR="00846EE3" w:rsidRPr="00F82455">
        <w:t>2</w:t>
      </w:r>
      <w:r w:rsidR="00085576" w:rsidRPr="00F82455">
        <w:t>2</w:t>
      </w:r>
      <w:r w:rsidR="000E3CB6">
        <w:t>-23г</w:t>
      </w:r>
      <w:r w:rsidRPr="00F82455">
        <w:t>г.</w:t>
      </w:r>
    </w:p>
    <w:p w:rsidR="008600AC" w:rsidRPr="00F82455" w:rsidRDefault="008600AC" w:rsidP="008600AC">
      <w:pPr>
        <w:jc w:val="center"/>
      </w:pPr>
    </w:p>
    <w:p w:rsidR="008600AC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82455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B90A48">
        <w:rPr>
          <w:rFonts w:ascii="Times New Roman" w:hAnsi="Times New Roman" w:cs="Times New Roman"/>
          <w:sz w:val="24"/>
          <w:szCs w:val="24"/>
        </w:rPr>
        <w:t>6</w:t>
      </w:r>
    </w:p>
    <w:p w:rsidR="000E3CB6" w:rsidRDefault="000E3CB6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Ind w:w="-34" w:type="dxa"/>
        <w:tblLayout w:type="fixed"/>
        <w:tblLook w:val="04A0"/>
      </w:tblPr>
      <w:tblGrid>
        <w:gridCol w:w="3686"/>
        <w:gridCol w:w="939"/>
        <w:gridCol w:w="939"/>
        <w:gridCol w:w="957"/>
        <w:gridCol w:w="1028"/>
        <w:gridCol w:w="952"/>
        <w:gridCol w:w="1174"/>
      </w:tblGrid>
      <w:tr w:rsidR="0058569C" w:rsidRPr="0058569C" w:rsidTr="0058569C">
        <w:trPr>
          <w:trHeight w:val="6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B90A48" w:rsidP="0058569C">
            <w:pPr>
              <w:jc w:val="center"/>
            </w:pPr>
            <w:r>
              <w:t>Д</w:t>
            </w:r>
            <w:r w:rsidR="0058569C" w:rsidRPr="0058569C">
              <w:t>ефекты оказания медицинской помощи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B90A48" w:rsidP="0058569C">
            <w:pPr>
              <w:jc w:val="center"/>
            </w:pPr>
            <w:r>
              <w:t>К</w:t>
            </w:r>
            <w:r w:rsidR="0058569C" w:rsidRPr="0058569C">
              <w:t>оличество выявленных нарушений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B90A48" w:rsidP="0058569C">
            <w:pPr>
              <w:jc w:val="center"/>
            </w:pPr>
            <w:r>
              <w:t>У</w:t>
            </w:r>
            <w:r w:rsidR="0058569C" w:rsidRPr="0058569C">
              <w:t>дельный вес нарушений, %</w:t>
            </w:r>
          </w:p>
        </w:tc>
      </w:tr>
      <w:tr w:rsidR="0058569C" w:rsidRPr="0058569C" w:rsidTr="0058569C">
        <w:trPr>
          <w:trHeight w:val="11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9C" w:rsidRPr="0058569C" w:rsidRDefault="0058569C" w:rsidP="0058569C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2023 год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2022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динамика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2023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2022 год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динамика</w:t>
            </w:r>
          </w:p>
        </w:tc>
      </w:tr>
      <w:tr w:rsidR="0058569C" w:rsidRPr="0058569C" w:rsidTr="0058569C">
        <w:trPr>
          <w:trHeight w:val="6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t>в связи с установлением неверного диагноза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1,39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1,39</w:t>
            </w:r>
          </w:p>
        </w:tc>
      </w:tr>
      <w:tr w:rsidR="0058569C" w:rsidRPr="0058569C" w:rsidTr="0058569C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t>в связи с невыполнением, несвоевременным или ненадлежащим выполнением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2 812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2788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52,11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72,89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-20,78</w:t>
            </w:r>
          </w:p>
        </w:tc>
      </w:tr>
      <w:tr w:rsidR="0058569C" w:rsidRPr="0058569C" w:rsidTr="0058569C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t xml:space="preserve">в связи с выполнением непоказанных с клинической точки зрения, не регламентированных порядками оказания медицинской помощи, клиническими рекомендациями, стандартами медицинской помощи мероприятий, приведшее </w:t>
            </w:r>
            <w:r w:rsidRPr="0058569C">
              <w:br/>
              <w:t>к ухудшению состояния здоровья застрахованного лица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0,06</w:t>
            </w:r>
          </w:p>
        </w:tc>
      </w:tr>
      <w:tr w:rsidR="0058569C" w:rsidRPr="0058569C" w:rsidTr="0058569C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t xml:space="preserve">в связи с преждевременным </w:t>
            </w:r>
            <w:r w:rsidRPr="0058569C">
              <w:br/>
              <w:t xml:space="preserve">с клинической точки зрения прекращением оказания медицинской помощи </w:t>
            </w:r>
            <w:r w:rsidRPr="0058569C">
              <w:br/>
              <w:t>при отсутствии клинического эффекта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-0,08</w:t>
            </w:r>
          </w:p>
        </w:tc>
      </w:tr>
      <w:tr w:rsidR="0058569C" w:rsidRPr="0058569C" w:rsidTr="0058569C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t>в связи с нарушением преемственности в оказании медицинской помощи по вине медицинской организации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8330DF">
            <w:pPr>
              <w:jc w:val="center"/>
            </w:pPr>
            <w:r w:rsidRPr="0058569C">
              <w:t xml:space="preserve">  </w:t>
            </w:r>
            <w:r w:rsidR="008330DF"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161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8330DF">
            <w:pPr>
              <w:jc w:val="center"/>
            </w:pPr>
            <w:r w:rsidRPr="0058569C">
              <w:t>-   15</w:t>
            </w:r>
            <w:r w:rsidR="008330DF"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8330DF">
            <w:pPr>
              <w:jc w:val="center"/>
            </w:pPr>
            <w:r w:rsidRPr="0058569C">
              <w:t>0,0</w:t>
            </w:r>
            <w:r w:rsidR="008330DF"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4,21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8330DF">
            <w:pPr>
              <w:jc w:val="center"/>
            </w:pPr>
            <w:r w:rsidRPr="0058569C">
              <w:t>-4,1</w:t>
            </w:r>
            <w:r w:rsidR="008330DF">
              <w:t>7</w:t>
            </w:r>
          </w:p>
        </w:tc>
      </w:tr>
      <w:tr w:rsidR="0058569C" w:rsidRPr="0058569C" w:rsidTr="0058569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lastRenderedPageBreak/>
              <w:t>в связи с непрофильной госпитализацией, при оказании медицинской помощи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0,01</w:t>
            </w:r>
          </w:p>
        </w:tc>
      </w:tr>
      <w:tr w:rsidR="0058569C" w:rsidRPr="0058569C" w:rsidTr="0058569C">
        <w:trPr>
          <w:trHeight w:val="8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t>в связи с необоснованной госпитализацией, при оказании медицинской помощи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0,09</w:t>
            </w:r>
          </w:p>
        </w:tc>
      </w:tr>
      <w:tr w:rsidR="0058569C" w:rsidRPr="0058569C" w:rsidTr="0058569C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t>в связи с расхождением клинического и патологоанатомического диагнозов 2 - 3 категории, обусловленное непроведением необходимых диагностических исследований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0,07</w:t>
            </w:r>
          </w:p>
        </w:tc>
      </w:tr>
      <w:tr w:rsidR="0058569C" w:rsidRPr="0058569C" w:rsidTr="0058569C">
        <w:trPr>
          <w:trHeight w:val="8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t>в связи с необоснованным назначением лекарственных препаратов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311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311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5,76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5,76</w:t>
            </w:r>
          </w:p>
        </w:tc>
      </w:tr>
      <w:tr w:rsidR="0058569C" w:rsidRPr="0058569C" w:rsidTr="0058569C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t xml:space="preserve">в связи с непроведением </w:t>
            </w:r>
            <w:r w:rsidRPr="0058569C">
              <w:br/>
              <w:t xml:space="preserve">диспансерного наблюдения застрахованного лица, включенного в группу диспансерного наблюдения, </w:t>
            </w:r>
            <w:r w:rsidRPr="0058569C">
              <w:br/>
              <w:t xml:space="preserve">в соответствии с порядком </w:t>
            </w:r>
            <w:r w:rsidRPr="0058569C">
              <w:br/>
              <w:t xml:space="preserve">и периодичностью проведения </w:t>
            </w:r>
            <w:r w:rsidRPr="0058569C">
              <w:br/>
              <w:t xml:space="preserve">диспансерного наблюдения </w:t>
            </w:r>
            <w:r w:rsidRPr="0058569C">
              <w:br/>
              <w:t xml:space="preserve">и перечнем включаемых </w:t>
            </w:r>
            <w:r w:rsidRPr="0058569C">
              <w:br/>
              <w:t>в указанный порядок исследований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156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156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2,89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2,89</w:t>
            </w:r>
          </w:p>
        </w:tc>
      </w:tr>
      <w:tr w:rsidR="0058569C" w:rsidRPr="0058569C" w:rsidTr="0058569C">
        <w:trPr>
          <w:trHeight w:val="21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t xml:space="preserve">в связи с нарушениями </w:t>
            </w:r>
            <w:r w:rsidRPr="0058569C">
              <w:br/>
              <w:t xml:space="preserve">при оказании медицинской помощи, вследствие которых, </w:t>
            </w:r>
            <w:r w:rsidRPr="0058569C">
              <w:br/>
              <w:t xml:space="preserve">при отсутствии положительной динамики в состоянии здоровья, потребовалось повторное обоснованное обращение </w:t>
            </w:r>
            <w:r w:rsidRPr="0058569C">
              <w:br/>
              <w:t>застрахованного лица за медицинской помощью по поводу того же заболевания в течение 14 дней со дня окончания оказания медицинской помощи мбулаторно, 30 дней стационарно (повторная госпитализация)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0,04</w:t>
            </w:r>
          </w:p>
        </w:tc>
      </w:tr>
      <w:tr w:rsidR="0058569C" w:rsidRPr="0058569C" w:rsidTr="0058569C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t>в связи с отсутствием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 852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15,79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15,79</w:t>
            </w:r>
          </w:p>
        </w:tc>
      </w:tr>
      <w:tr w:rsidR="0058569C" w:rsidRPr="0058569C" w:rsidTr="0058569C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t>прочие нарушения</w:t>
            </w:r>
            <w:r w:rsidR="00C75B9D" w:rsidRPr="00F82455">
              <w:t xml:space="preserve"> </w:t>
            </w:r>
            <w:r w:rsidR="00C75B9D">
              <w:t xml:space="preserve">в </w:t>
            </w:r>
            <w:r w:rsidR="00C75B9D">
              <w:lastRenderedPageBreak/>
              <w:t xml:space="preserve">соответствии с </w:t>
            </w:r>
            <w:r w:rsidR="00C75B9D" w:rsidRPr="00F82455">
              <w:t>Переч</w:t>
            </w:r>
            <w:r w:rsidR="00C75B9D">
              <w:t xml:space="preserve">нем </w:t>
            </w:r>
            <w:r w:rsidR="00C75B9D" w:rsidRPr="00F82455">
              <w:t xml:space="preserve"> оснований для </w:t>
            </w:r>
            <w:r w:rsidR="00C9744F">
              <w:t xml:space="preserve">отказа в </w:t>
            </w:r>
            <w:r w:rsidR="00C75B9D" w:rsidRPr="00F82455">
              <w:t>оплат</w:t>
            </w:r>
            <w:r w:rsidR="00C9744F">
              <w:t>е</w:t>
            </w:r>
            <w:r w:rsidR="00C75B9D" w:rsidRPr="00F82455">
              <w:t xml:space="preserve">  </w:t>
            </w:r>
            <w:r w:rsidR="00C9744F" w:rsidRPr="00F82455">
              <w:t>медицинской помощи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lastRenderedPageBreak/>
              <w:t xml:space="preserve">   1</w:t>
            </w:r>
            <w:r>
              <w:t>160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865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-   864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>
              <w:t>21,50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22,61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>
              <w:t>-1,11</w:t>
            </w:r>
          </w:p>
        </w:tc>
      </w:tr>
      <w:tr w:rsidR="0058569C" w:rsidRPr="0058569C" w:rsidTr="0058569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B90A48">
            <w:pPr>
              <w:jc w:val="both"/>
            </w:pPr>
            <w:r w:rsidRPr="0058569C">
              <w:lastRenderedPageBreak/>
              <w:t>всего: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5396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3825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 xml:space="preserve">  1 571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  <w:r w:rsidRPr="0058569C">
              <w:t>100,00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9C" w:rsidRPr="0058569C" w:rsidRDefault="0058569C" w:rsidP="0058569C">
            <w:pPr>
              <w:jc w:val="center"/>
            </w:pPr>
          </w:p>
        </w:tc>
      </w:tr>
    </w:tbl>
    <w:p w:rsidR="000E3CB6" w:rsidRDefault="000E3CB6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D2EB5" w:rsidRDefault="00C618EA" w:rsidP="00C618EA">
      <w:pPr>
        <w:ind w:firstLine="708"/>
        <w:jc w:val="both"/>
      </w:pPr>
      <w:r>
        <w:t>В с</w:t>
      </w:r>
      <w:r w:rsidR="00A3218F" w:rsidRPr="00F82455">
        <w:t>труктур</w:t>
      </w:r>
      <w:r>
        <w:t>е</w:t>
      </w:r>
      <w:r w:rsidR="009D2EB5">
        <w:t xml:space="preserve"> выявленных нарушений</w:t>
      </w:r>
      <w:r w:rsidR="00A3218F" w:rsidRPr="00F82455">
        <w:t>, как и по итогам 202</w:t>
      </w:r>
      <w:r w:rsidR="009D2EB5">
        <w:t>2</w:t>
      </w:r>
      <w:r w:rsidR="00A3218F" w:rsidRPr="00F82455">
        <w:t xml:space="preserve"> года, </w:t>
      </w:r>
      <w:r w:rsidR="00864960" w:rsidRPr="00F82455">
        <w:t xml:space="preserve"> преобладают нарушения, связанные с </w:t>
      </w:r>
      <w:r w:rsidR="009D2EB5" w:rsidRPr="0058569C">
        <w:t>невыполнением, несвоевременным или ненадлежащим выполнением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</w:t>
      </w:r>
      <w:r w:rsidR="008600AC" w:rsidRPr="00F82455">
        <w:t xml:space="preserve">  </w:t>
      </w:r>
      <w:r w:rsidR="00864960" w:rsidRPr="00F82455">
        <w:t xml:space="preserve">несоблюдением клинических рекомендаций, порядков оказания медицинской помощи, стандартов медицинской помощи – </w:t>
      </w:r>
      <w:r w:rsidR="00C12F74" w:rsidRPr="00F82455">
        <w:t>2</w:t>
      </w:r>
      <w:r w:rsidR="00B90A48">
        <w:t xml:space="preserve"> 812 (</w:t>
      </w:r>
      <w:r w:rsidR="009D2EB5">
        <w:t xml:space="preserve">52,11 %) </w:t>
      </w:r>
      <w:r w:rsidR="00A3218F" w:rsidRPr="00F82455">
        <w:t>нарушений</w:t>
      </w:r>
      <w:r w:rsidR="009D2EB5">
        <w:t xml:space="preserve"> (в 2022</w:t>
      </w:r>
      <w:r w:rsidR="00A3218F" w:rsidRPr="00F82455">
        <w:t xml:space="preserve"> году </w:t>
      </w:r>
      <w:r w:rsidR="009D2EB5">
        <w:t xml:space="preserve">– 2 788 </w:t>
      </w:r>
      <w:r w:rsidR="00C12F74" w:rsidRPr="00F82455">
        <w:t xml:space="preserve"> </w:t>
      </w:r>
      <w:r w:rsidR="00A3218F" w:rsidRPr="00F82455">
        <w:t xml:space="preserve"> </w:t>
      </w:r>
      <w:r w:rsidR="001A0C48">
        <w:t>(</w:t>
      </w:r>
      <w:r w:rsidR="009D2EB5">
        <w:t xml:space="preserve">72,89 %) </w:t>
      </w:r>
      <w:r w:rsidR="00A3218F" w:rsidRPr="00F82455">
        <w:t>нарушений</w:t>
      </w:r>
      <w:r w:rsidR="001A0C48">
        <w:t>)</w:t>
      </w:r>
      <w:r w:rsidR="00B90A48">
        <w:t xml:space="preserve">, </w:t>
      </w:r>
      <w:r w:rsidR="00A3218F" w:rsidRPr="00F82455">
        <w:t xml:space="preserve"> и прочие нарушения в соответствии с Перечнем оснований для </w:t>
      </w:r>
      <w:r w:rsidR="00B90A48">
        <w:t xml:space="preserve">отказа </w:t>
      </w:r>
      <w:r w:rsidR="00A3218F" w:rsidRPr="00F82455">
        <w:t xml:space="preserve">в оплате </w:t>
      </w:r>
      <w:r w:rsidR="009D2EB5">
        <w:t>медицинской помощи  - 1</w:t>
      </w:r>
      <w:r w:rsidR="00B90A48">
        <w:t xml:space="preserve"> </w:t>
      </w:r>
      <w:r w:rsidR="009D2EB5">
        <w:t xml:space="preserve">160 (или 21,5 %)  нарушений </w:t>
      </w:r>
      <w:r w:rsidR="00A3218F" w:rsidRPr="00F82455">
        <w:t>(в 202</w:t>
      </w:r>
      <w:r w:rsidR="009D2EB5">
        <w:t>2</w:t>
      </w:r>
      <w:r w:rsidR="00A3218F" w:rsidRPr="00F82455">
        <w:t xml:space="preserve"> году – </w:t>
      </w:r>
      <w:r w:rsidR="009D2EB5">
        <w:t xml:space="preserve">865 </w:t>
      </w:r>
      <w:r w:rsidR="00A3218F" w:rsidRPr="00F82455">
        <w:t xml:space="preserve"> </w:t>
      </w:r>
      <w:r w:rsidR="009D2EB5">
        <w:t xml:space="preserve">(22,61 </w:t>
      </w:r>
      <w:r w:rsidR="00A3218F" w:rsidRPr="00F82455">
        <w:t>%</w:t>
      </w:r>
      <w:r w:rsidR="009D2EB5">
        <w:t xml:space="preserve">) </w:t>
      </w:r>
      <w:r w:rsidR="00A3218F" w:rsidRPr="00F82455">
        <w:t>нарушений)</w:t>
      </w:r>
      <w:r w:rsidR="00864960" w:rsidRPr="00F82455">
        <w:t>.</w:t>
      </w:r>
      <w:r w:rsidR="00A3218F" w:rsidRPr="00F82455">
        <w:t xml:space="preserve"> </w:t>
      </w:r>
    </w:p>
    <w:p w:rsidR="00864960" w:rsidRPr="00F82455" w:rsidRDefault="00864960" w:rsidP="008600AC">
      <w:pPr>
        <w:jc w:val="both"/>
      </w:pPr>
    </w:p>
    <w:p w:rsidR="003E660E" w:rsidRPr="00F82455" w:rsidRDefault="00165DC6" w:rsidP="004D5E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455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170DBE" w:rsidRPr="00F93DB9" w:rsidRDefault="00B90A48" w:rsidP="00F93DB9">
      <w:pPr>
        <w:pStyle w:val="ConsPlusNormal"/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B9">
        <w:rPr>
          <w:rFonts w:ascii="Times New Roman" w:hAnsi="Times New Roman" w:cs="Times New Roman"/>
          <w:sz w:val="24"/>
          <w:szCs w:val="24"/>
        </w:rPr>
        <w:t xml:space="preserve">По сравнению с 2022 годом количество проведенных экспертиз качества медицинской помощи и медико – экономических экспертиз уменьшилось на </w:t>
      </w:r>
      <w:r w:rsidR="00170DBE" w:rsidRPr="00F93DB9">
        <w:rPr>
          <w:rFonts w:ascii="Times New Roman" w:hAnsi="Times New Roman" w:cs="Times New Roman"/>
          <w:sz w:val="24"/>
          <w:szCs w:val="24"/>
        </w:rPr>
        <w:t>1 995 и 5</w:t>
      </w:r>
      <w:r w:rsidR="00F93DB9" w:rsidRPr="00F93DB9">
        <w:rPr>
          <w:rFonts w:ascii="Times New Roman" w:hAnsi="Times New Roman" w:cs="Times New Roman"/>
          <w:sz w:val="24"/>
          <w:szCs w:val="24"/>
        </w:rPr>
        <w:t xml:space="preserve"> </w:t>
      </w:r>
      <w:r w:rsidR="00170DBE" w:rsidRPr="00F93DB9">
        <w:rPr>
          <w:rFonts w:ascii="Times New Roman" w:hAnsi="Times New Roman" w:cs="Times New Roman"/>
          <w:sz w:val="24"/>
          <w:szCs w:val="24"/>
        </w:rPr>
        <w:t>925 экспертиз соответственно, что связано с дефицитом специалистов – экспертов (в КФ АО «СОГАЗ-Мед» работают 2 специалиста – эксперта при потребности в 6 специалистах, и ТФОМС РК -1 специал</w:t>
      </w:r>
      <w:r w:rsidR="007A210D" w:rsidRPr="00F93DB9">
        <w:rPr>
          <w:rFonts w:ascii="Times New Roman" w:hAnsi="Times New Roman" w:cs="Times New Roman"/>
          <w:sz w:val="24"/>
          <w:szCs w:val="24"/>
        </w:rPr>
        <w:t>и</w:t>
      </w:r>
      <w:r w:rsidR="00170DBE" w:rsidRPr="00F93DB9">
        <w:rPr>
          <w:rFonts w:ascii="Times New Roman" w:hAnsi="Times New Roman" w:cs="Times New Roman"/>
          <w:sz w:val="24"/>
          <w:szCs w:val="24"/>
        </w:rPr>
        <w:t>ст</w:t>
      </w:r>
      <w:r w:rsidR="007A210D" w:rsidRPr="00F93DB9">
        <w:rPr>
          <w:rFonts w:ascii="Times New Roman" w:hAnsi="Times New Roman" w:cs="Times New Roman"/>
          <w:sz w:val="24"/>
          <w:szCs w:val="24"/>
        </w:rPr>
        <w:t xml:space="preserve"> - эксперт</w:t>
      </w:r>
      <w:r w:rsidR="00170DBE" w:rsidRPr="00F93DB9">
        <w:rPr>
          <w:rFonts w:ascii="Times New Roman" w:hAnsi="Times New Roman" w:cs="Times New Roman"/>
          <w:sz w:val="24"/>
          <w:szCs w:val="24"/>
        </w:rPr>
        <w:t xml:space="preserve"> при потребности в 3 специалистах);</w:t>
      </w:r>
    </w:p>
    <w:p w:rsidR="007A210D" w:rsidRPr="00F93DB9" w:rsidRDefault="00F075EC" w:rsidP="00F93DB9">
      <w:pPr>
        <w:pStyle w:val="ConsPlusNormal"/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</w:t>
      </w:r>
      <w:r w:rsidR="007644AB" w:rsidRPr="00F93DB9">
        <w:rPr>
          <w:rFonts w:ascii="Times New Roman" w:hAnsi="Times New Roman" w:cs="Times New Roman"/>
          <w:sz w:val="24"/>
          <w:szCs w:val="24"/>
        </w:rPr>
        <w:t xml:space="preserve">страховых </w:t>
      </w:r>
      <w:r w:rsidR="00170DBE" w:rsidRPr="00F93DB9">
        <w:rPr>
          <w:rFonts w:ascii="Times New Roman" w:hAnsi="Times New Roman" w:cs="Times New Roman"/>
          <w:sz w:val="24"/>
          <w:szCs w:val="24"/>
        </w:rPr>
        <w:t xml:space="preserve">случаев, содержащих нарушения, по результатам медико – экономических экспертиз, сохраняется на прежнем уровне (в 2023 году составил – 32,4 %, в 2022 году - 33,3 %). </w:t>
      </w:r>
      <w:r w:rsidR="007A210D" w:rsidRPr="00F93DB9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F93DB9" w:rsidRPr="00F93DB9">
        <w:rPr>
          <w:rFonts w:ascii="Times New Roman" w:hAnsi="Times New Roman" w:cs="Times New Roman"/>
          <w:sz w:val="24"/>
          <w:szCs w:val="24"/>
        </w:rPr>
        <w:t xml:space="preserve">, в структуре выявленных нарушений по результатам медико – экономических экспертиз, </w:t>
      </w:r>
      <w:r w:rsidR="007A210D" w:rsidRPr="00F93DB9">
        <w:rPr>
          <w:rFonts w:ascii="Times New Roman" w:hAnsi="Times New Roman" w:cs="Times New Roman"/>
          <w:sz w:val="24"/>
          <w:szCs w:val="24"/>
        </w:rPr>
        <w:t xml:space="preserve">основной удельный вес составляют случаи непредставления  первичной медицинской  документации, подтверждающей факт оказания медицинской помощи (в 2023 году </w:t>
      </w:r>
      <w:r w:rsidR="007644AB" w:rsidRPr="00F93DB9">
        <w:rPr>
          <w:rFonts w:ascii="Times New Roman" w:hAnsi="Times New Roman" w:cs="Times New Roman"/>
          <w:sz w:val="24"/>
          <w:szCs w:val="24"/>
        </w:rPr>
        <w:t xml:space="preserve"> - </w:t>
      </w:r>
      <w:r w:rsidR="001A0C48" w:rsidRPr="00F93DB9">
        <w:rPr>
          <w:rFonts w:ascii="Times New Roman" w:hAnsi="Times New Roman" w:cs="Times New Roman"/>
          <w:sz w:val="24"/>
          <w:szCs w:val="24"/>
        </w:rPr>
        <w:t xml:space="preserve">2 862 случаев </w:t>
      </w:r>
      <w:r w:rsidR="001A0C48">
        <w:rPr>
          <w:rFonts w:ascii="Times New Roman" w:hAnsi="Times New Roman" w:cs="Times New Roman"/>
          <w:sz w:val="24"/>
          <w:szCs w:val="24"/>
        </w:rPr>
        <w:t>(</w:t>
      </w:r>
      <w:r w:rsidR="007A210D" w:rsidRPr="00F93DB9">
        <w:rPr>
          <w:rFonts w:ascii="Times New Roman" w:hAnsi="Times New Roman" w:cs="Times New Roman"/>
          <w:sz w:val="24"/>
          <w:szCs w:val="24"/>
        </w:rPr>
        <w:t>27,04 %</w:t>
      </w:r>
      <w:r w:rsidR="001A0C48">
        <w:rPr>
          <w:rFonts w:ascii="Times New Roman" w:hAnsi="Times New Roman" w:cs="Times New Roman"/>
          <w:sz w:val="24"/>
          <w:szCs w:val="24"/>
        </w:rPr>
        <w:t>)</w:t>
      </w:r>
      <w:r w:rsidR="007A210D" w:rsidRPr="00F93DB9">
        <w:rPr>
          <w:rFonts w:ascii="Times New Roman" w:hAnsi="Times New Roman" w:cs="Times New Roman"/>
          <w:sz w:val="24"/>
          <w:szCs w:val="24"/>
        </w:rPr>
        <w:t>, в 2022 году –</w:t>
      </w:r>
      <w:r w:rsidR="001A0C48">
        <w:rPr>
          <w:rFonts w:ascii="Times New Roman" w:hAnsi="Times New Roman" w:cs="Times New Roman"/>
          <w:sz w:val="24"/>
          <w:szCs w:val="24"/>
        </w:rPr>
        <w:t xml:space="preserve"> </w:t>
      </w:r>
      <w:r w:rsidR="001A0C48" w:rsidRPr="00F93DB9">
        <w:rPr>
          <w:rFonts w:ascii="Times New Roman" w:hAnsi="Times New Roman" w:cs="Times New Roman"/>
          <w:sz w:val="24"/>
          <w:szCs w:val="24"/>
        </w:rPr>
        <w:t>4</w:t>
      </w:r>
      <w:r w:rsidR="001A0C48">
        <w:rPr>
          <w:rFonts w:ascii="Times New Roman" w:hAnsi="Times New Roman" w:cs="Times New Roman"/>
          <w:sz w:val="24"/>
          <w:szCs w:val="24"/>
        </w:rPr>
        <w:t xml:space="preserve"> </w:t>
      </w:r>
      <w:r w:rsidR="001A0C48" w:rsidRPr="00F93DB9">
        <w:rPr>
          <w:rFonts w:ascii="Times New Roman" w:hAnsi="Times New Roman" w:cs="Times New Roman"/>
          <w:sz w:val="24"/>
          <w:szCs w:val="24"/>
        </w:rPr>
        <w:t>138 случаев</w:t>
      </w:r>
      <w:r w:rsidR="007A210D" w:rsidRPr="00F93DB9">
        <w:rPr>
          <w:rFonts w:ascii="Times New Roman" w:hAnsi="Times New Roman" w:cs="Times New Roman"/>
          <w:sz w:val="24"/>
          <w:szCs w:val="24"/>
        </w:rPr>
        <w:t xml:space="preserve"> </w:t>
      </w:r>
      <w:r w:rsidR="001A0C48">
        <w:rPr>
          <w:rFonts w:ascii="Times New Roman" w:hAnsi="Times New Roman" w:cs="Times New Roman"/>
          <w:sz w:val="24"/>
          <w:szCs w:val="24"/>
        </w:rPr>
        <w:t>(</w:t>
      </w:r>
      <w:r w:rsidR="007A210D" w:rsidRPr="00F93DB9">
        <w:rPr>
          <w:rFonts w:ascii="Times New Roman" w:hAnsi="Times New Roman" w:cs="Times New Roman"/>
          <w:sz w:val="24"/>
          <w:szCs w:val="24"/>
        </w:rPr>
        <w:t>32,98 %</w:t>
      </w:r>
      <w:r w:rsidR="001A0C48">
        <w:rPr>
          <w:rFonts w:ascii="Times New Roman" w:hAnsi="Times New Roman" w:cs="Times New Roman"/>
          <w:sz w:val="24"/>
          <w:szCs w:val="24"/>
        </w:rPr>
        <w:t>)</w:t>
      </w:r>
      <w:r w:rsidR="007644AB" w:rsidRPr="00F93DB9">
        <w:rPr>
          <w:rFonts w:ascii="Times New Roman" w:hAnsi="Times New Roman" w:cs="Times New Roman"/>
          <w:sz w:val="24"/>
          <w:szCs w:val="24"/>
        </w:rPr>
        <w:t>)</w:t>
      </w:r>
      <w:r w:rsidR="007A210D" w:rsidRPr="00F93DB9">
        <w:rPr>
          <w:rFonts w:ascii="Times New Roman" w:hAnsi="Times New Roman" w:cs="Times New Roman"/>
          <w:sz w:val="24"/>
          <w:szCs w:val="24"/>
        </w:rPr>
        <w:t>;</w:t>
      </w:r>
    </w:p>
    <w:p w:rsidR="009E5034" w:rsidRPr="00F93DB9" w:rsidRDefault="007644AB" w:rsidP="00F93DB9">
      <w:pPr>
        <w:pStyle w:val="a8"/>
        <w:numPr>
          <w:ilvl w:val="0"/>
          <w:numId w:val="19"/>
        </w:numPr>
        <w:ind w:left="0" w:firstLine="567"/>
        <w:jc w:val="both"/>
      </w:pPr>
      <w:r w:rsidRPr="00F93DB9">
        <w:t xml:space="preserve">Отмечен значительный рост </w:t>
      </w:r>
      <w:r w:rsidR="00F075EC">
        <w:t xml:space="preserve">доли </w:t>
      </w:r>
      <w:r w:rsidRPr="00F93DB9">
        <w:t xml:space="preserve"> страховых случаев, содержащих нарушения, по результатам экспертиз качества медицинской помощи с 41,8 % в </w:t>
      </w:r>
      <w:r w:rsidR="00F075EC">
        <w:t>2022 году до 56,2 % в 2023 году.</w:t>
      </w:r>
      <w:r w:rsidRPr="00F93DB9">
        <w:t xml:space="preserve">  Случаи оказания стационарозамещающей помощи</w:t>
      </w:r>
      <w:r w:rsidR="00F93DB9" w:rsidRPr="00F93DB9">
        <w:t>, подвергнутые ЭКМП,</w:t>
      </w:r>
      <w:r w:rsidRPr="00F93DB9">
        <w:t xml:space="preserve"> содержали дефекты оказания медицинской помощи в 63,7 % (в 2022 году в 43,3 %), амбулаторной помощи  в 61,2 % (в 2022 году в 40,9 %), стационарной помощи в 57,0 % (в 2022 году в 57,4 %).  </w:t>
      </w:r>
      <w:r w:rsidR="00F93DB9" w:rsidRPr="00F93DB9">
        <w:t>В</w:t>
      </w:r>
      <w:r w:rsidR="003E660E" w:rsidRPr="00F93DB9">
        <w:t xml:space="preserve"> структуре выявл</w:t>
      </w:r>
      <w:r w:rsidR="007875B5" w:rsidRPr="00F93DB9">
        <w:t xml:space="preserve">енных </w:t>
      </w:r>
      <w:r w:rsidR="003E660E" w:rsidRPr="00F93DB9">
        <w:t>нарушений</w:t>
      </w:r>
      <w:r w:rsidR="00F93DB9" w:rsidRPr="00F93DB9">
        <w:t xml:space="preserve"> по результатам экспертиз качества медицинской помощи</w:t>
      </w:r>
      <w:r w:rsidR="003E660E" w:rsidRPr="00F93DB9">
        <w:t>, как и  по итогам 202</w:t>
      </w:r>
      <w:r w:rsidR="00F93DB9" w:rsidRPr="00F93DB9">
        <w:t>2</w:t>
      </w:r>
      <w:r w:rsidR="003E660E" w:rsidRPr="00F93DB9">
        <w:t xml:space="preserve"> года</w:t>
      </w:r>
      <w:r w:rsidR="00640F3B" w:rsidRPr="00F93DB9">
        <w:t>,</w:t>
      </w:r>
      <w:r w:rsidR="003E660E" w:rsidRPr="00F93DB9">
        <w:t xml:space="preserve"> </w:t>
      </w:r>
      <w:r w:rsidR="00F93DB9" w:rsidRPr="00F93DB9">
        <w:t xml:space="preserve">«лидируют» </w:t>
      </w:r>
      <w:r w:rsidR="003E660E" w:rsidRPr="00F93DB9">
        <w:t>нарушения</w:t>
      </w:r>
      <w:r w:rsidR="00F93DB9" w:rsidRPr="00F93DB9">
        <w:t xml:space="preserve"> связанные с невыполнением, несвоевременным или ненадлежащим выполнением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  несоблюдением клинических рекомендаций, порядков оказания медицинской помощи, стандартов медицинской помощи – 2 812 (52,11 %) нарушений (в 2022 году – 2 788   (или 72,89 %) нарушений</w:t>
      </w:r>
      <w:r w:rsidR="00F93DB9">
        <w:t>.</w:t>
      </w:r>
    </w:p>
    <w:sectPr w:rsidR="009E5034" w:rsidRPr="00F93DB9" w:rsidSect="00D20F60">
      <w:footerReference w:type="even" r:id="rId8"/>
      <w:footerReference w:type="default" r:id="rId9"/>
      <w:pgSz w:w="11906" w:h="16838"/>
      <w:pgMar w:top="709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AB" w:rsidRDefault="00DE61AB">
      <w:r>
        <w:separator/>
      </w:r>
    </w:p>
  </w:endnote>
  <w:endnote w:type="continuationSeparator" w:id="1">
    <w:p w:rsidR="00DE61AB" w:rsidRDefault="00DE6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A5" w:rsidRDefault="00096DA5" w:rsidP="00F535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6DA5" w:rsidRDefault="00096DA5" w:rsidP="00F535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A5" w:rsidRDefault="00096DA5" w:rsidP="00F535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0C48">
      <w:rPr>
        <w:rStyle w:val="a6"/>
        <w:noProof/>
      </w:rPr>
      <w:t>10</w:t>
    </w:r>
    <w:r>
      <w:rPr>
        <w:rStyle w:val="a6"/>
      </w:rPr>
      <w:fldChar w:fldCharType="end"/>
    </w:r>
  </w:p>
  <w:p w:rsidR="00096DA5" w:rsidRDefault="00096DA5" w:rsidP="00F535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AB" w:rsidRDefault="00DE61AB">
      <w:r>
        <w:separator/>
      </w:r>
    </w:p>
  </w:footnote>
  <w:footnote w:type="continuationSeparator" w:id="1">
    <w:p w:rsidR="00DE61AB" w:rsidRDefault="00DE6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60"/>
    <w:multiLevelType w:val="hybridMultilevel"/>
    <w:tmpl w:val="415E4684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26803CE"/>
    <w:multiLevelType w:val="hybridMultilevel"/>
    <w:tmpl w:val="4BB021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3A1D65"/>
    <w:multiLevelType w:val="hybridMultilevel"/>
    <w:tmpl w:val="350A18F0"/>
    <w:lvl w:ilvl="0" w:tplc="ECD09E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10725"/>
    <w:multiLevelType w:val="hybridMultilevel"/>
    <w:tmpl w:val="85BCFCE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1CBB73D0"/>
    <w:multiLevelType w:val="hybridMultilevel"/>
    <w:tmpl w:val="9180892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21E51856"/>
    <w:multiLevelType w:val="hybridMultilevel"/>
    <w:tmpl w:val="7E1E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548CD"/>
    <w:multiLevelType w:val="hybridMultilevel"/>
    <w:tmpl w:val="875AEE3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>
    <w:nsid w:val="27EB29BE"/>
    <w:multiLevelType w:val="hybridMultilevel"/>
    <w:tmpl w:val="8A7E64DA"/>
    <w:lvl w:ilvl="0" w:tplc="5D0AE0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ADC7E7C"/>
    <w:multiLevelType w:val="hybridMultilevel"/>
    <w:tmpl w:val="12A22824"/>
    <w:lvl w:ilvl="0" w:tplc="E90E432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374C7"/>
    <w:multiLevelType w:val="hybridMultilevel"/>
    <w:tmpl w:val="81B800E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3BAA22DD"/>
    <w:multiLevelType w:val="hybridMultilevel"/>
    <w:tmpl w:val="E05228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932224A"/>
    <w:multiLevelType w:val="hybridMultilevel"/>
    <w:tmpl w:val="3EEC65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DFF484C"/>
    <w:multiLevelType w:val="hybridMultilevel"/>
    <w:tmpl w:val="4C9C6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7651B"/>
    <w:multiLevelType w:val="hybridMultilevel"/>
    <w:tmpl w:val="04A2F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319C7"/>
    <w:multiLevelType w:val="hybridMultilevel"/>
    <w:tmpl w:val="33049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235C50"/>
    <w:multiLevelType w:val="hybridMultilevel"/>
    <w:tmpl w:val="DCBE1C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7DE47BF"/>
    <w:multiLevelType w:val="hybridMultilevel"/>
    <w:tmpl w:val="7DD6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75397"/>
    <w:multiLevelType w:val="hybridMultilevel"/>
    <w:tmpl w:val="3F4E1C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4"/>
  </w:num>
  <w:num w:numId="17">
    <w:abstractNumId w:val="13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CF5"/>
    <w:rsid w:val="00000462"/>
    <w:rsid w:val="00000D0B"/>
    <w:rsid w:val="00000FDF"/>
    <w:rsid w:val="00006970"/>
    <w:rsid w:val="00007501"/>
    <w:rsid w:val="000109F2"/>
    <w:rsid w:val="00011232"/>
    <w:rsid w:val="00013AFB"/>
    <w:rsid w:val="00014B5A"/>
    <w:rsid w:val="0002062C"/>
    <w:rsid w:val="00021562"/>
    <w:rsid w:val="000217D8"/>
    <w:rsid w:val="00024190"/>
    <w:rsid w:val="0002419E"/>
    <w:rsid w:val="000269E1"/>
    <w:rsid w:val="000327BF"/>
    <w:rsid w:val="00032815"/>
    <w:rsid w:val="00032E55"/>
    <w:rsid w:val="0003327B"/>
    <w:rsid w:val="00035370"/>
    <w:rsid w:val="0003593F"/>
    <w:rsid w:val="00035FFB"/>
    <w:rsid w:val="00037051"/>
    <w:rsid w:val="000402C3"/>
    <w:rsid w:val="000424F8"/>
    <w:rsid w:val="00043312"/>
    <w:rsid w:val="00043BF7"/>
    <w:rsid w:val="0004689F"/>
    <w:rsid w:val="00050A12"/>
    <w:rsid w:val="00050B76"/>
    <w:rsid w:val="00050D92"/>
    <w:rsid w:val="00051272"/>
    <w:rsid w:val="00051480"/>
    <w:rsid w:val="00052502"/>
    <w:rsid w:val="00055A39"/>
    <w:rsid w:val="00062B08"/>
    <w:rsid w:val="00062C9D"/>
    <w:rsid w:val="00063E9A"/>
    <w:rsid w:val="00063FBA"/>
    <w:rsid w:val="000641A5"/>
    <w:rsid w:val="0007052B"/>
    <w:rsid w:val="00070BA0"/>
    <w:rsid w:val="00072250"/>
    <w:rsid w:val="00072678"/>
    <w:rsid w:val="00073378"/>
    <w:rsid w:val="000735A7"/>
    <w:rsid w:val="0007377D"/>
    <w:rsid w:val="00073D9A"/>
    <w:rsid w:val="00074755"/>
    <w:rsid w:val="00076F36"/>
    <w:rsid w:val="000800AA"/>
    <w:rsid w:val="000800CE"/>
    <w:rsid w:val="00080232"/>
    <w:rsid w:val="00080CEC"/>
    <w:rsid w:val="00081566"/>
    <w:rsid w:val="00083FC7"/>
    <w:rsid w:val="00085576"/>
    <w:rsid w:val="00086C82"/>
    <w:rsid w:val="000870E1"/>
    <w:rsid w:val="000871C4"/>
    <w:rsid w:val="000879B4"/>
    <w:rsid w:val="00091335"/>
    <w:rsid w:val="00091654"/>
    <w:rsid w:val="00093377"/>
    <w:rsid w:val="000933AF"/>
    <w:rsid w:val="000939EE"/>
    <w:rsid w:val="000950A7"/>
    <w:rsid w:val="00095227"/>
    <w:rsid w:val="00095708"/>
    <w:rsid w:val="00096DA5"/>
    <w:rsid w:val="000A0BC3"/>
    <w:rsid w:val="000A3D49"/>
    <w:rsid w:val="000A5C2E"/>
    <w:rsid w:val="000A6CE7"/>
    <w:rsid w:val="000B08F7"/>
    <w:rsid w:val="000B0E41"/>
    <w:rsid w:val="000B102D"/>
    <w:rsid w:val="000B1656"/>
    <w:rsid w:val="000B2C51"/>
    <w:rsid w:val="000B44D2"/>
    <w:rsid w:val="000B4F67"/>
    <w:rsid w:val="000B6D9A"/>
    <w:rsid w:val="000B7AF7"/>
    <w:rsid w:val="000B7E80"/>
    <w:rsid w:val="000C0437"/>
    <w:rsid w:val="000C2721"/>
    <w:rsid w:val="000C336E"/>
    <w:rsid w:val="000C3CF1"/>
    <w:rsid w:val="000C57C0"/>
    <w:rsid w:val="000C602B"/>
    <w:rsid w:val="000C66A4"/>
    <w:rsid w:val="000C7C60"/>
    <w:rsid w:val="000C7D5B"/>
    <w:rsid w:val="000D2776"/>
    <w:rsid w:val="000D2952"/>
    <w:rsid w:val="000D3929"/>
    <w:rsid w:val="000D4420"/>
    <w:rsid w:val="000D46BE"/>
    <w:rsid w:val="000D5723"/>
    <w:rsid w:val="000D617B"/>
    <w:rsid w:val="000D6903"/>
    <w:rsid w:val="000D6FD1"/>
    <w:rsid w:val="000E0400"/>
    <w:rsid w:val="000E1BD9"/>
    <w:rsid w:val="000E2738"/>
    <w:rsid w:val="000E3CB6"/>
    <w:rsid w:val="000E4660"/>
    <w:rsid w:val="000E4A84"/>
    <w:rsid w:val="000E54D9"/>
    <w:rsid w:val="000E7DEA"/>
    <w:rsid w:val="000E7FE1"/>
    <w:rsid w:val="000F06C4"/>
    <w:rsid w:val="000F0C12"/>
    <w:rsid w:val="000F21BE"/>
    <w:rsid w:val="000F3872"/>
    <w:rsid w:val="000F38A4"/>
    <w:rsid w:val="000F42B8"/>
    <w:rsid w:val="000F4DD4"/>
    <w:rsid w:val="00102B09"/>
    <w:rsid w:val="00102DFF"/>
    <w:rsid w:val="0010628D"/>
    <w:rsid w:val="00106816"/>
    <w:rsid w:val="0010708D"/>
    <w:rsid w:val="00107525"/>
    <w:rsid w:val="001076B0"/>
    <w:rsid w:val="0011044C"/>
    <w:rsid w:val="00110898"/>
    <w:rsid w:val="00110CBE"/>
    <w:rsid w:val="001115B9"/>
    <w:rsid w:val="001143FE"/>
    <w:rsid w:val="00114F4E"/>
    <w:rsid w:val="001173C4"/>
    <w:rsid w:val="00117C27"/>
    <w:rsid w:val="00121494"/>
    <w:rsid w:val="00121DED"/>
    <w:rsid w:val="001221F9"/>
    <w:rsid w:val="00123050"/>
    <w:rsid w:val="001239F0"/>
    <w:rsid w:val="00124487"/>
    <w:rsid w:val="00126855"/>
    <w:rsid w:val="00127818"/>
    <w:rsid w:val="001332A1"/>
    <w:rsid w:val="00133786"/>
    <w:rsid w:val="001349C6"/>
    <w:rsid w:val="00136A02"/>
    <w:rsid w:val="00137AB6"/>
    <w:rsid w:val="00137BEA"/>
    <w:rsid w:val="00140298"/>
    <w:rsid w:val="00140458"/>
    <w:rsid w:val="00140772"/>
    <w:rsid w:val="00141E8F"/>
    <w:rsid w:val="00142788"/>
    <w:rsid w:val="00142A9D"/>
    <w:rsid w:val="0014376C"/>
    <w:rsid w:val="001438BC"/>
    <w:rsid w:val="00143EA1"/>
    <w:rsid w:val="00144311"/>
    <w:rsid w:val="00145E48"/>
    <w:rsid w:val="00146107"/>
    <w:rsid w:val="0014618D"/>
    <w:rsid w:val="00146B9B"/>
    <w:rsid w:val="00146BF7"/>
    <w:rsid w:val="0014730C"/>
    <w:rsid w:val="0015158A"/>
    <w:rsid w:val="001520C3"/>
    <w:rsid w:val="001548F0"/>
    <w:rsid w:val="00154B65"/>
    <w:rsid w:val="00155986"/>
    <w:rsid w:val="00155D5D"/>
    <w:rsid w:val="00156AC1"/>
    <w:rsid w:val="00157143"/>
    <w:rsid w:val="0015787A"/>
    <w:rsid w:val="0015787F"/>
    <w:rsid w:val="00161DFF"/>
    <w:rsid w:val="00163CCC"/>
    <w:rsid w:val="00164D7F"/>
    <w:rsid w:val="00165DC6"/>
    <w:rsid w:val="00166F71"/>
    <w:rsid w:val="00170DBE"/>
    <w:rsid w:val="00171011"/>
    <w:rsid w:val="001728C7"/>
    <w:rsid w:val="0017322B"/>
    <w:rsid w:val="00173655"/>
    <w:rsid w:val="00175C23"/>
    <w:rsid w:val="001804B7"/>
    <w:rsid w:val="001814EC"/>
    <w:rsid w:val="00181B65"/>
    <w:rsid w:val="00184FC0"/>
    <w:rsid w:val="0018659A"/>
    <w:rsid w:val="00186E96"/>
    <w:rsid w:val="00187284"/>
    <w:rsid w:val="001878AC"/>
    <w:rsid w:val="001904C4"/>
    <w:rsid w:val="00190A49"/>
    <w:rsid w:val="00193D19"/>
    <w:rsid w:val="001942FB"/>
    <w:rsid w:val="00195DF9"/>
    <w:rsid w:val="00196E42"/>
    <w:rsid w:val="001A0198"/>
    <w:rsid w:val="001A0C48"/>
    <w:rsid w:val="001A1DD2"/>
    <w:rsid w:val="001A5396"/>
    <w:rsid w:val="001A65F5"/>
    <w:rsid w:val="001A7236"/>
    <w:rsid w:val="001A73E6"/>
    <w:rsid w:val="001B07E6"/>
    <w:rsid w:val="001B0D34"/>
    <w:rsid w:val="001B12C0"/>
    <w:rsid w:val="001B34B0"/>
    <w:rsid w:val="001B35E8"/>
    <w:rsid w:val="001B4E02"/>
    <w:rsid w:val="001B67FD"/>
    <w:rsid w:val="001B6CAB"/>
    <w:rsid w:val="001B796D"/>
    <w:rsid w:val="001C0F59"/>
    <w:rsid w:val="001C208F"/>
    <w:rsid w:val="001C2C91"/>
    <w:rsid w:val="001C2E68"/>
    <w:rsid w:val="001C365F"/>
    <w:rsid w:val="001C49FC"/>
    <w:rsid w:val="001C5002"/>
    <w:rsid w:val="001C5AA1"/>
    <w:rsid w:val="001C6672"/>
    <w:rsid w:val="001C66A9"/>
    <w:rsid w:val="001C7304"/>
    <w:rsid w:val="001D0F8A"/>
    <w:rsid w:val="001D107F"/>
    <w:rsid w:val="001D17D8"/>
    <w:rsid w:val="001D1BFE"/>
    <w:rsid w:val="001D2464"/>
    <w:rsid w:val="001D2714"/>
    <w:rsid w:val="001D474B"/>
    <w:rsid w:val="001D4D08"/>
    <w:rsid w:val="001E024C"/>
    <w:rsid w:val="001E03EC"/>
    <w:rsid w:val="001E188A"/>
    <w:rsid w:val="001E3C22"/>
    <w:rsid w:val="001E4293"/>
    <w:rsid w:val="001E458F"/>
    <w:rsid w:val="001F03DE"/>
    <w:rsid w:val="001F157C"/>
    <w:rsid w:val="001F1CDC"/>
    <w:rsid w:val="001F2801"/>
    <w:rsid w:val="001F2C57"/>
    <w:rsid w:val="001F2E55"/>
    <w:rsid w:val="001F7372"/>
    <w:rsid w:val="00200B50"/>
    <w:rsid w:val="002011EF"/>
    <w:rsid w:val="00202079"/>
    <w:rsid w:val="002070E7"/>
    <w:rsid w:val="00207123"/>
    <w:rsid w:val="00210C2B"/>
    <w:rsid w:val="00211017"/>
    <w:rsid w:val="002116FA"/>
    <w:rsid w:val="00211E34"/>
    <w:rsid w:val="002127D4"/>
    <w:rsid w:val="00212F6E"/>
    <w:rsid w:val="00214AF4"/>
    <w:rsid w:val="002150CA"/>
    <w:rsid w:val="00216598"/>
    <w:rsid w:val="00216617"/>
    <w:rsid w:val="002170F3"/>
    <w:rsid w:val="00217342"/>
    <w:rsid w:val="00221A73"/>
    <w:rsid w:val="00223D40"/>
    <w:rsid w:val="00223E97"/>
    <w:rsid w:val="0022453B"/>
    <w:rsid w:val="00230D2E"/>
    <w:rsid w:val="00230D5C"/>
    <w:rsid w:val="0023103A"/>
    <w:rsid w:val="0023310A"/>
    <w:rsid w:val="0023353A"/>
    <w:rsid w:val="00233617"/>
    <w:rsid w:val="00235D53"/>
    <w:rsid w:val="0023641D"/>
    <w:rsid w:val="00236FE0"/>
    <w:rsid w:val="00237FD5"/>
    <w:rsid w:val="00242211"/>
    <w:rsid w:val="00242375"/>
    <w:rsid w:val="00242933"/>
    <w:rsid w:val="002435D7"/>
    <w:rsid w:val="0024425D"/>
    <w:rsid w:val="0024501C"/>
    <w:rsid w:val="002458B2"/>
    <w:rsid w:val="00245E25"/>
    <w:rsid w:val="00247549"/>
    <w:rsid w:val="0025316D"/>
    <w:rsid w:val="0025412A"/>
    <w:rsid w:val="002557A6"/>
    <w:rsid w:val="00260484"/>
    <w:rsid w:val="00260E6E"/>
    <w:rsid w:val="002615C6"/>
    <w:rsid w:val="00263626"/>
    <w:rsid w:val="00264714"/>
    <w:rsid w:val="0026568C"/>
    <w:rsid w:val="00266575"/>
    <w:rsid w:val="00267155"/>
    <w:rsid w:val="0026744B"/>
    <w:rsid w:val="002678EB"/>
    <w:rsid w:val="002704C7"/>
    <w:rsid w:val="00270A6E"/>
    <w:rsid w:val="00271481"/>
    <w:rsid w:val="00272D1B"/>
    <w:rsid w:val="00273D87"/>
    <w:rsid w:val="00273E30"/>
    <w:rsid w:val="0027576B"/>
    <w:rsid w:val="0027679D"/>
    <w:rsid w:val="00276D9B"/>
    <w:rsid w:val="002776E4"/>
    <w:rsid w:val="00280516"/>
    <w:rsid w:val="00280896"/>
    <w:rsid w:val="002818CA"/>
    <w:rsid w:val="00282573"/>
    <w:rsid w:val="00284D60"/>
    <w:rsid w:val="0028691C"/>
    <w:rsid w:val="00286927"/>
    <w:rsid w:val="002905B0"/>
    <w:rsid w:val="002908F1"/>
    <w:rsid w:val="00290D49"/>
    <w:rsid w:val="002930DC"/>
    <w:rsid w:val="00293876"/>
    <w:rsid w:val="00293D13"/>
    <w:rsid w:val="00294D3E"/>
    <w:rsid w:val="00295634"/>
    <w:rsid w:val="00296812"/>
    <w:rsid w:val="00297175"/>
    <w:rsid w:val="002A032C"/>
    <w:rsid w:val="002A04FE"/>
    <w:rsid w:val="002A27ED"/>
    <w:rsid w:val="002A3BA2"/>
    <w:rsid w:val="002A4A46"/>
    <w:rsid w:val="002A4CAE"/>
    <w:rsid w:val="002A71A5"/>
    <w:rsid w:val="002B2144"/>
    <w:rsid w:val="002B22E6"/>
    <w:rsid w:val="002B38BB"/>
    <w:rsid w:val="002B46F3"/>
    <w:rsid w:val="002B46FB"/>
    <w:rsid w:val="002B59BD"/>
    <w:rsid w:val="002B5D36"/>
    <w:rsid w:val="002B5E16"/>
    <w:rsid w:val="002B5F90"/>
    <w:rsid w:val="002B64E8"/>
    <w:rsid w:val="002B66B1"/>
    <w:rsid w:val="002B789C"/>
    <w:rsid w:val="002C0627"/>
    <w:rsid w:val="002C1811"/>
    <w:rsid w:val="002C2906"/>
    <w:rsid w:val="002C3868"/>
    <w:rsid w:val="002C4A86"/>
    <w:rsid w:val="002C70F5"/>
    <w:rsid w:val="002C7596"/>
    <w:rsid w:val="002D054E"/>
    <w:rsid w:val="002D3BBA"/>
    <w:rsid w:val="002D3C97"/>
    <w:rsid w:val="002D418F"/>
    <w:rsid w:val="002D4345"/>
    <w:rsid w:val="002D53C2"/>
    <w:rsid w:val="002D7342"/>
    <w:rsid w:val="002E01A9"/>
    <w:rsid w:val="002E2373"/>
    <w:rsid w:val="002E3094"/>
    <w:rsid w:val="002E51B4"/>
    <w:rsid w:val="002E5284"/>
    <w:rsid w:val="002E54F1"/>
    <w:rsid w:val="002E7AFE"/>
    <w:rsid w:val="002F145B"/>
    <w:rsid w:val="002F23CB"/>
    <w:rsid w:val="002F41AD"/>
    <w:rsid w:val="002F55CB"/>
    <w:rsid w:val="002F65BF"/>
    <w:rsid w:val="002F66E8"/>
    <w:rsid w:val="002F6D17"/>
    <w:rsid w:val="002F70CB"/>
    <w:rsid w:val="002F70CE"/>
    <w:rsid w:val="00302C25"/>
    <w:rsid w:val="00302EFD"/>
    <w:rsid w:val="00304847"/>
    <w:rsid w:val="003052CC"/>
    <w:rsid w:val="00310B1E"/>
    <w:rsid w:val="0031188E"/>
    <w:rsid w:val="00312D6C"/>
    <w:rsid w:val="00313616"/>
    <w:rsid w:val="00313BE7"/>
    <w:rsid w:val="003147DD"/>
    <w:rsid w:val="0031493D"/>
    <w:rsid w:val="00315CDD"/>
    <w:rsid w:val="0031602F"/>
    <w:rsid w:val="00316424"/>
    <w:rsid w:val="00317A14"/>
    <w:rsid w:val="00317B83"/>
    <w:rsid w:val="00317ED7"/>
    <w:rsid w:val="003200A2"/>
    <w:rsid w:val="00321041"/>
    <w:rsid w:val="00321322"/>
    <w:rsid w:val="003239E5"/>
    <w:rsid w:val="00323EC9"/>
    <w:rsid w:val="00327028"/>
    <w:rsid w:val="00331536"/>
    <w:rsid w:val="00331A60"/>
    <w:rsid w:val="00333642"/>
    <w:rsid w:val="00334A4E"/>
    <w:rsid w:val="00336DEC"/>
    <w:rsid w:val="00337ABB"/>
    <w:rsid w:val="003429CA"/>
    <w:rsid w:val="00343782"/>
    <w:rsid w:val="00343D44"/>
    <w:rsid w:val="00344B2C"/>
    <w:rsid w:val="003454D5"/>
    <w:rsid w:val="003460EB"/>
    <w:rsid w:val="00351A5B"/>
    <w:rsid w:val="0035382F"/>
    <w:rsid w:val="0035580D"/>
    <w:rsid w:val="00356062"/>
    <w:rsid w:val="00356D41"/>
    <w:rsid w:val="00357FE0"/>
    <w:rsid w:val="00360CC4"/>
    <w:rsid w:val="003611D6"/>
    <w:rsid w:val="00363DEE"/>
    <w:rsid w:val="00364024"/>
    <w:rsid w:val="003644AF"/>
    <w:rsid w:val="00365059"/>
    <w:rsid w:val="00370675"/>
    <w:rsid w:val="00371575"/>
    <w:rsid w:val="00371B63"/>
    <w:rsid w:val="00372D36"/>
    <w:rsid w:val="00372FEE"/>
    <w:rsid w:val="003772BE"/>
    <w:rsid w:val="00377646"/>
    <w:rsid w:val="00377D67"/>
    <w:rsid w:val="003847FD"/>
    <w:rsid w:val="00384FB3"/>
    <w:rsid w:val="003852CD"/>
    <w:rsid w:val="00385BD6"/>
    <w:rsid w:val="00385E96"/>
    <w:rsid w:val="00386472"/>
    <w:rsid w:val="00390689"/>
    <w:rsid w:val="00392A76"/>
    <w:rsid w:val="003963A8"/>
    <w:rsid w:val="003977E7"/>
    <w:rsid w:val="00397C30"/>
    <w:rsid w:val="00397DFC"/>
    <w:rsid w:val="003A0121"/>
    <w:rsid w:val="003A0CBE"/>
    <w:rsid w:val="003A1484"/>
    <w:rsid w:val="003A4E29"/>
    <w:rsid w:val="003A5AD6"/>
    <w:rsid w:val="003B0131"/>
    <w:rsid w:val="003B04EE"/>
    <w:rsid w:val="003B5943"/>
    <w:rsid w:val="003B6299"/>
    <w:rsid w:val="003B676E"/>
    <w:rsid w:val="003B6993"/>
    <w:rsid w:val="003B7F1F"/>
    <w:rsid w:val="003C0A1C"/>
    <w:rsid w:val="003C1757"/>
    <w:rsid w:val="003C1873"/>
    <w:rsid w:val="003C1D01"/>
    <w:rsid w:val="003C4713"/>
    <w:rsid w:val="003C50E5"/>
    <w:rsid w:val="003C5292"/>
    <w:rsid w:val="003C546C"/>
    <w:rsid w:val="003C5801"/>
    <w:rsid w:val="003C5929"/>
    <w:rsid w:val="003C6326"/>
    <w:rsid w:val="003C63EC"/>
    <w:rsid w:val="003C6EC1"/>
    <w:rsid w:val="003C7505"/>
    <w:rsid w:val="003D023C"/>
    <w:rsid w:val="003D1B64"/>
    <w:rsid w:val="003D1D5C"/>
    <w:rsid w:val="003D37C7"/>
    <w:rsid w:val="003D4331"/>
    <w:rsid w:val="003D49D8"/>
    <w:rsid w:val="003D5DA5"/>
    <w:rsid w:val="003D6DC9"/>
    <w:rsid w:val="003D74E3"/>
    <w:rsid w:val="003E151E"/>
    <w:rsid w:val="003E1525"/>
    <w:rsid w:val="003E1B5A"/>
    <w:rsid w:val="003E2389"/>
    <w:rsid w:val="003E2800"/>
    <w:rsid w:val="003E660E"/>
    <w:rsid w:val="003E6E93"/>
    <w:rsid w:val="003F067F"/>
    <w:rsid w:val="003F0EEB"/>
    <w:rsid w:val="003F1A42"/>
    <w:rsid w:val="003F306F"/>
    <w:rsid w:val="003F3EAC"/>
    <w:rsid w:val="003F4344"/>
    <w:rsid w:val="003F47FF"/>
    <w:rsid w:val="0040147F"/>
    <w:rsid w:val="0040269A"/>
    <w:rsid w:val="004059CB"/>
    <w:rsid w:val="00405DCD"/>
    <w:rsid w:val="00406E94"/>
    <w:rsid w:val="00410103"/>
    <w:rsid w:val="004108E7"/>
    <w:rsid w:val="00410F95"/>
    <w:rsid w:val="0041188D"/>
    <w:rsid w:val="004123D3"/>
    <w:rsid w:val="00412A02"/>
    <w:rsid w:val="00413A3A"/>
    <w:rsid w:val="00413E08"/>
    <w:rsid w:val="00414783"/>
    <w:rsid w:val="00416178"/>
    <w:rsid w:val="00417901"/>
    <w:rsid w:val="00417E6C"/>
    <w:rsid w:val="00421046"/>
    <w:rsid w:val="00421472"/>
    <w:rsid w:val="00422E83"/>
    <w:rsid w:val="00426B36"/>
    <w:rsid w:val="00426E5A"/>
    <w:rsid w:val="004310F4"/>
    <w:rsid w:val="004331B3"/>
    <w:rsid w:val="0043403D"/>
    <w:rsid w:val="004347BC"/>
    <w:rsid w:val="0043570A"/>
    <w:rsid w:val="00435DDA"/>
    <w:rsid w:val="00437593"/>
    <w:rsid w:val="00440324"/>
    <w:rsid w:val="00440F14"/>
    <w:rsid w:val="004412B8"/>
    <w:rsid w:val="0044225B"/>
    <w:rsid w:val="0044248A"/>
    <w:rsid w:val="00442A15"/>
    <w:rsid w:val="00445E68"/>
    <w:rsid w:val="00446E16"/>
    <w:rsid w:val="00447305"/>
    <w:rsid w:val="00450EFF"/>
    <w:rsid w:val="00451698"/>
    <w:rsid w:val="00454497"/>
    <w:rsid w:val="004553B7"/>
    <w:rsid w:val="004557AA"/>
    <w:rsid w:val="00455E0C"/>
    <w:rsid w:val="00455EE9"/>
    <w:rsid w:val="0045698E"/>
    <w:rsid w:val="00457611"/>
    <w:rsid w:val="00457A72"/>
    <w:rsid w:val="00461D7A"/>
    <w:rsid w:val="00463758"/>
    <w:rsid w:val="0046500E"/>
    <w:rsid w:val="00465BFC"/>
    <w:rsid w:val="00465F3F"/>
    <w:rsid w:val="00466C0E"/>
    <w:rsid w:val="00466CBD"/>
    <w:rsid w:val="00467446"/>
    <w:rsid w:val="00470257"/>
    <w:rsid w:val="004705AF"/>
    <w:rsid w:val="00471A2D"/>
    <w:rsid w:val="004722F5"/>
    <w:rsid w:val="00472B88"/>
    <w:rsid w:val="00473189"/>
    <w:rsid w:val="004731C8"/>
    <w:rsid w:val="004747D5"/>
    <w:rsid w:val="004757FC"/>
    <w:rsid w:val="00477B49"/>
    <w:rsid w:val="00480BCE"/>
    <w:rsid w:val="00481054"/>
    <w:rsid w:val="00481223"/>
    <w:rsid w:val="00481D84"/>
    <w:rsid w:val="0048266F"/>
    <w:rsid w:val="00482FD3"/>
    <w:rsid w:val="0048492F"/>
    <w:rsid w:val="004862DF"/>
    <w:rsid w:val="00486DDE"/>
    <w:rsid w:val="00487FCE"/>
    <w:rsid w:val="004900BE"/>
    <w:rsid w:val="004916A6"/>
    <w:rsid w:val="00492384"/>
    <w:rsid w:val="00492DAC"/>
    <w:rsid w:val="00492E39"/>
    <w:rsid w:val="004934C4"/>
    <w:rsid w:val="004937CD"/>
    <w:rsid w:val="00494C38"/>
    <w:rsid w:val="00494CB1"/>
    <w:rsid w:val="00495BFD"/>
    <w:rsid w:val="00495E9A"/>
    <w:rsid w:val="00496DA0"/>
    <w:rsid w:val="00497AF5"/>
    <w:rsid w:val="004A0A81"/>
    <w:rsid w:val="004A0C8D"/>
    <w:rsid w:val="004A1275"/>
    <w:rsid w:val="004A214E"/>
    <w:rsid w:val="004A5642"/>
    <w:rsid w:val="004A6B30"/>
    <w:rsid w:val="004A7CC6"/>
    <w:rsid w:val="004B0AC8"/>
    <w:rsid w:val="004B0F02"/>
    <w:rsid w:val="004B1169"/>
    <w:rsid w:val="004B17F0"/>
    <w:rsid w:val="004B22CB"/>
    <w:rsid w:val="004B2E31"/>
    <w:rsid w:val="004B591E"/>
    <w:rsid w:val="004C0A22"/>
    <w:rsid w:val="004C0CEA"/>
    <w:rsid w:val="004C23BF"/>
    <w:rsid w:val="004C306A"/>
    <w:rsid w:val="004C32D7"/>
    <w:rsid w:val="004C35CB"/>
    <w:rsid w:val="004C39EF"/>
    <w:rsid w:val="004C447C"/>
    <w:rsid w:val="004C4AD1"/>
    <w:rsid w:val="004C6255"/>
    <w:rsid w:val="004C6789"/>
    <w:rsid w:val="004C7334"/>
    <w:rsid w:val="004C7339"/>
    <w:rsid w:val="004C777E"/>
    <w:rsid w:val="004C7842"/>
    <w:rsid w:val="004C7B79"/>
    <w:rsid w:val="004D0BD8"/>
    <w:rsid w:val="004D3D57"/>
    <w:rsid w:val="004D55CC"/>
    <w:rsid w:val="004D5EA5"/>
    <w:rsid w:val="004D620D"/>
    <w:rsid w:val="004D6365"/>
    <w:rsid w:val="004D64B3"/>
    <w:rsid w:val="004E146F"/>
    <w:rsid w:val="004E2D0A"/>
    <w:rsid w:val="004E344E"/>
    <w:rsid w:val="004E46EC"/>
    <w:rsid w:val="004E56F1"/>
    <w:rsid w:val="004E5CB6"/>
    <w:rsid w:val="004E5FEA"/>
    <w:rsid w:val="004E6807"/>
    <w:rsid w:val="004E7EFE"/>
    <w:rsid w:val="004F06DA"/>
    <w:rsid w:val="004F1EC8"/>
    <w:rsid w:val="004F2A76"/>
    <w:rsid w:val="004F4448"/>
    <w:rsid w:val="004F4EDC"/>
    <w:rsid w:val="004F5754"/>
    <w:rsid w:val="004F625C"/>
    <w:rsid w:val="004F7180"/>
    <w:rsid w:val="004F71E5"/>
    <w:rsid w:val="00501BEF"/>
    <w:rsid w:val="00502ED2"/>
    <w:rsid w:val="005048C0"/>
    <w:rsid w:val="0050641E"/>
    <w:rsid w:val="00506F8F"/>
    <w:rsid w:val="005072B9"/>
    <w:rsid w:val="00511232"/>
    <w:rsid w:val="00511AE3"/>
    <w:rsid w:val="00512167"/>
    <w:rsid w:val="00512176"/>
    <w:rsid w:val="005121EF"/>
    <w:rsid w:val="00513DCA"/>
    <w:rsid w:val="00513E23"/>
    <w:rsid w:val="00513F0C"/>
    <w:rsid w:val="0051439B"/>
    <w:rsid w:val="0051649F"/>
    <w:rsid w:val="005249F8"/>
    <w:rsid w:val="005263BE"/>
    <w:rsid w:val="00527BFA"/>
    <w:rsid w:val="00532B29"/>
    <w:rsid w:val="0053435F"/>
    <w:rsid w:val="005345CC"/>
    <w:rsid w:val="00534B77"/>
    <w:rsid w:val="00534F8F"/>
    <w:rsid w:val="00540574"/>
    <w:rsid w:val="0054389D"/>
    <w:rsid w:val="0054395B"/>
    <w:rsid w:val="00543A6B"/>
    <w:rsid w:val="00543E5B"/>
    <w:rsid w:val="00544475"/>
    <w:rsid w:val="005447BD"/>
    <w:rsid w:val="00546343"/>
    <w:rsid w:val="00546A07"/>
    <w:rsid w:val="005502B2"/>
    <w:rsid w:val="0055186A"/>
    <w:rsid w:val="00551D14"/>
    <w:rsid w:val="005536FB"/>
    <w:rsid w:val="00553AD0"/>
    <w:rsid w:val="005551A3"/>
    <w:rsid w:val="00555E62"/>
    <w:rsid w:val="005566DF"/>
    <w:rsid w:val="00562612"/>
    <w:rsid w:val="005626AD"/>
    <w:rsid w:val="00565D09"/>
    <w:rsid w:val="00566FA8"/>
    <w:rsid w:val="00567716"/>
    <w:rsid w:val="00570C48"/>
    <w:rsid w:val="00571480"/>
    <w:rsid w:val="0057258C"/>
    <w:rsid w:val="005772D7"/>
    <w:rsid w:val="005774C5"/>
    <w:rsid w:val="00580844"/>
    <w:rsid w:val="0058101B"/>
    <w:rsid w:val="00581B06"/>
    <w:rsid w:val="00581D5B"/>
    <w:rsid w:val="0058569C"/>
    <w:rsid w:val="0058663E"/>
    <w:rsid w:val="00590BA2"/>
    <w:rsid w:val="00592B77"/>
    <w:rsid w:val="005936E7"/>
    <w:rsid w:val="005944A0"/>
    <w:rsid w:val="00594B6D"/>
    <w:rsid w:val="00595730"/>
    <w:rsid w:val="00595CD4"/>
    <w:rsid w:val="00596E4E"/>
    <w:rsid w:val="005A0DE4"/>
    <w:rsid w:val="005A1EEA"/>
    <w:rsid w:val="005A401A"/>
    <w:rsid w:val="005A67BE"/>
    <w:rsid w:val="005A75EC"/>
    <w:rsid w:val="005A79B1"/>
    <w:rsid w:val="005B0F21"/>
    <w:rsid w:val="005B1EEC"/>
    <w:rsid w:val="005B2287"/>
    <w:rsid w:val="005B27E9"/>
    <w:rsid w:val="005B3385"/>
    <w:rsid w:val="005B5C82"/>
    <w:rsid w:val="005B7353"/>
    <w:rsid w:val="005B76A6"/>
    <w:rsid w:val="005C049F"/>
    <w:rsid w:val="005C0859"/>
    <w:rsid w:val="005C34E2"/>
    <w:rsid w:val="005C45FF"/>
    <w:rsid w:val="005C4BB5"/>
    <w:rsid w:val="005D0635"/>
    <w:rsid w:val="005D1071"/>
    <w:rsid w:val="005D3BB6"/>
    <w:rsid w:val="005D44AE"/>
    <w:rsid w:val="005D4501"/>
    <w:rsid w:val="005D4C65"/>
    <w:rsid w:val="005D55DB"/>
    <w:rsid w:val="005D66B5"/>
    <w:rsid w:val="005E0434"/>
    <w:rsid w:val="005E150C"/>
    <w:rsid w:val="005E2025"/>
    <w:rsid w:val="005E20D6"/>
    <w:rsid w:val="005E22DE"/>
    <w:rsid w:val="005E2C02"/>
    <w:rsid w:val="005E39A0"/>
    <w:rsid w:val="005E3EB2"/>
    <w:rsid w:val="005E46A0"/>
    <w:rsid w:val="005E50F3"/>
    <w:rsid w:val="005E6685"/>
    <w:rsid w:val="005E6DFB"/>
    <w:rsid w:val="005E6FE7"/>
    <w:rsid w:val="005F1438"/>
    <w:rsid w:val="005F22D7"/>
    <w:rsid w:val="005F42DF"/>
    <w:rsid w:val="005F5618"/>
    <w:rsid w:val="005F5A8C"/>
    <w:rsid w:val="005F5E19"/>
    <w:rsid w:val="005F5E36"/>
    <w:rsid w:val="00600383"/>
    <w:rsid w:val="0060044B"/>
    <w:rsid w:val="006008C1"/>
    <w:rsid w:val="006028EB"/>
    <w:rsid w:val="0061054E"/>
    <w:rsid w:val="006109E8"/>
    <w:rsid w:val="00611312"/>
    <w:rsid w:val="00611FFB"/>
    <w:rsid w:val="006141EF"/>
    <w:rsid w:val="00614253"/>
    <w:rsid w:val="00615544"/>
    <w:rsid w:val="00615639"/>
    <w:rsid w:val="00615ABB"/>
    <w:rsid w:val="006167FD"/>
    <w:rsid w:val="00620ACE"/>
    <w:rsid w:val="00622D26"/>
    <w:rsid w:val="00623275"/>
    <w:rsid w:val="0062439D"/>
    <w:rsid w:val="00625375"/>
    <w:rsid w:val="00625B35"/>
    <w:rsid w:val="00627F25"/>
    <w:rsid w:val="006300A4"/>
    <w:rsid w:val="0063033E"/>
    <w:rsid w:val="0063046F"/>
    <w:rsid w:val="006309B1"/>
    <w:rsid w:val="0063112C"/>
    <w:rsid w:val="0063340D"/>
    <w:rsid w:val="006334BC"/>
    <w:rsid w:val="00635D5C"/>
    <w:rsid w:val="00636FAE"/>
    <w:rsid w:val="00640F3B"/>
    <w:rsid w:val="00641283"/>
    <w:rsid w:val="00642115"/>
    <w:rsid w:val="00644D55"/>
    <w:rsid w:val="006458E2"/>
    <w:rsid w:val="00646978"/>
    <w:rsid w:val="00646DD2"/>
    <w:rsid w:val="00650501"/>
    <w:rsid w:val="006513EB"/>
    <w:rsid w:val="00651819"/>
    <w:rsid w:val="00652FC7"/>
    <w:rsid w:val="00653901"/>
    <w:rsid w:val="00653DFA"/>
    <w:rsid w:val="00655548"/>
    <w:rsid w:val="00655D3A"/>
    <w:rsid w:val="00656330"/>
    <w:rsid w:val="006572A1"/>
    <w:rsid w:val="006606C4"/>
    <w:rsid w:val="006627B9"/>
    <w:rsid w:val="00663BF3"/>
    <w:rsid w:val="00663E44"/>
    <w:rsid w:val="00663F6E"/>
    <w:rsid w:val="006666C6"/>
    <w:rsid w:val="00666A7F"/>
    <w:rsid w:val="00666FF1"/>
    <w:rsid w:val="00667CC6"/>
    <w:rsid w:val="00667D77"/>
    <w:rsid w:val="00671736"/>
    <w:rsid w:val="00672E77"/>
    <w:rsid w:val="00673541"/>
    <w:rsid w:val="00673697"/>
    <w:rsid w:val="00673D9E"/>
    <w:rsid w:val="00677D04"/>
    <w:rsid w:val="00683699"/>
    <w:rsid w:val="006836EA"/>
    <w:rsid w:val="00685965"/>
    <w:rsid w:val="00686399"/>
    <w:rsid w:val="00686CDF"/>
    <w:rsid w:val="00687185"/>
    <w:rsid w:val="00687C07"/>
    <w:rsid w:val="00687C50"/>
    <w:rsid w:val="00687E96"/>
    <w:rsid w:val="00690C3E"/>
    <w:rsid w:val="006923AF"/>
    <w:rsid w:val="0069309B"/>
    <w:rsid w:val="0069595B"/>
    <w:rsid w:val="0069614C"/>
    <w:rsid w:val="00696448"/>
    <w:rsid w:val="006A1209"/>
    <w:rsid w:val="006A29AA"/>
    <w:rsid w:val="006A473E"/>
    <w:rsid w:val="006A709A"/>
    <w:rsid w:val="006A76C3"/>
    <w:rsid w:val="006B04F2"/>
    <w:rsid w:val="006B37C9"/>
    <w:rsid w:val="006B5242"/>
    <w:rsid w:val="006B5EE9"/>
    <w:rsid w:val="006C254F"/>
    <w:rsid w:val="006C2559"/>
    <w:rsid w:val="006C2AB2"/>
    <w:rsid w:val="006C2E77"/>
    <w:rsid w:val="006C2E95"/>
    <w:rsid w:val="006C3FD7"/>
    <w:rsid w:val="006C43F3"/>
    <w:rsid w:val="006C4920"/>
    <w:rsid w:val="006C7092"/>
    <w:rsid w:val="006D1F34"/>
    <w:rsid w:val="006D2B46"/>
    <w:rsid w:val="006D4A87"/>
    <w:rsid w:val="006D6702"/>
    <w:rsid w:val="006D7AA2"/>
    <w:rsid w:val="006E174B"/>
    <w:rsid w:val="006E2A48"/>
    <w:rsid w:val="006E3B1A"/>
    <w:rsid w:val="006E4464"/>
    <w:rsid w:val="006E60C1"/>
    <w:rsid w:val="006F1C2B"/>
    <w:rsid w:val="006F3BEA"/>
    <w:rsid w:val="006F59FE"/>
    <w:rsid w:val="006F5EAF"/>
    <w:rsid w:val="006F60DC"/>
    <w:rsid w:val="006F6711"/>
    <w:rsid w:val="006F6CA4"/>
    <w:rsid w:val="00700877"/>
    <w:rsid w:val="00700CEB"/>
    <w:rsid w:val="00705D73"/>
    <w:rsid w:val="00710BB8"/>
    <w:rsid w:val="00711482"/>
    <w:rsid w:val="007122A2"/>
    <w:rsid w:val="007145CC"/>
    <w:rsid w:val="00714EDC"/>
    <w:rsid w:val="00715A6C"/>
    <w:rsid w:val="007175AF"/>
    <w:rsid w:val="00717C20"/>
    <w:rsid w:val="00720508"/>
    <w:rsid w:val="0072259B"/>
    <w:rsid w:val="0072497F"/>
    <w:rsid w:val="0072670E"/>
    <w:rsid w:val="00730A6F"/>
    <w:rsid w:val="00730C46"/>
    <w:rsid w:val="0073267D"/>
    <w:rsid w:val="00732E1A"/>
    <w:rsid w:val="00733D01"/>
    <w:rsid w:val="00735BBD"/>
    <w:rsid w:val="00736015"/>
    <w:rsid w:val="0073664A"/>
    <w:rsid w:val="0073673E"/>
    <w:rsid w:val="00740478"/>
    <w:rsid w:val="00741250"/>
    <w:rsid w:val="007417AB"/>
    <w:rsid w:val="00741976"/>
    <w:rsid w:val="00742349"/>
    <w:rsid w:val="00743AF6"/>
    <w:rsid w:val="007441AD"/>
    <w:rsid w:val="0074444B"/>
    <w:rsid w:val="00744877"/>
    <w:rsid w:val="0074534E"/>
    <w:rsid w:val="00750653"/>
    <w:rsid w:val="00750748"/>
    <w:rsid w:val="0075131E"/>
    <w:rsid w:val="00751C82"/>
    <w:rsid w:val="00752D3F"/>
    <w:rsid w:val="00753793"/>
    <w:rsid w:val="007537FF"/>
    <w:rsid w:val="00753AB8"/>
    <w:rsid w:val="00754EB6"/>
    <w:rsid w:val="007551B1"/>
    <w:rsid w:val="00755ADD"/>
    <w:rsid w:val="00756DCE"/>
    <w:rsid w:val="0075743E"/>
    <w:rsid w:val="0075749D"/>
    <w:rsid w:val="00760C34"/>
    <w:rsid w:val="0076220C"/>
    <w:rsid w:val="00762913"/>
    <w:rsid w:val="00762950"/>
    <w:rsid w:val="007644AB"/>
    <w:rsid w:val="00764CF5"/>
    <w:rsid w:val="007658A2"/>
    <w:rsid w:val="007670E0"/>
    <w:rsid w:val="00771D4C"/>
    <w:rsid w:val="0077355B"/>
    <w:rsid w:val="00773D9B"/>
    <w:rsid w:val="00773DCA"/>
    <w:rsid w:val="007750C5"/>
    <w:rsid w:val="007777B8"/>
    <w:rsid w:val="00780964"/>
    <w:rsid w:val="00781CE5"/>
    <w:rsid w:val="00781EB0"/>
    <w:rsid w:val="007846AE"/>
    <w:rsid w:val="00784D2C"/>
    <w:rsid w:val="00786825"/>
    <w:rsid w:val="00786A61"/>
    <w:rsid w:val="00786F25"/>
    <w:rsid w:val="00786F6D"/>
    <w:rsid w:val="007875B5"/>
    <w:rsid w:val="00787776"/>
    <w:rsid w:val="00791863"/>
    <w:rsid w:val="00791A7C"/>
    <w:rsid w:val="007927A5"/>
    <w:rsid w:val="00793F09"/>
    <w:rsid w:val="007942C7"/>
    <w:rsid w:val="00794A92"/>
    <w:rsid w:val="00795DD6"/>
    <w:rsid w:val="007965CB"/>
    <w:rsid w:val="007A210D"/>
    <w:rsid w:val="007A212E"/>
    <w:rsid w:val="007A234B"/>
    <w:rsid w:val="007A3430"/>
    <w:rsid w:val="007A3537"/>
    <w:rsid w:val="007A4B12"/>
    <w:rsid w:val="007A4E09"/>
    <w:rsid w:val="007A7437"/>
    <w:rsid w:val="007A780C"/>
    <w:rsid w:val="007B02F6"/>
    <w:rsid w:val="007B04A5"/>
    <w:rsid w:val="007B3744"/>
    <w:rsid w:val="007B3790"/>
    <w:rsid w:val="007B45E7"/>
    <w:rsid w:val="007B638A"/>
    <w:rsid w:val="007B68AB"/>
    <w:rsid w:val="007B7B91"/>
    <w:rsid w:val="007B7F00"/>
    <w:rsid w:val="007C1004"/>
    <w:rsid w:val="007C12C8"/>
    <w:rsid w:val="007C176B"/>
    <w:rsid w:val="007C21A0"/>
    <w:rsid w:val="007C2883"/>
    <w:rsid w:val="007C3EF3"/>
    <w:rsid w:val="007C60F8"/>
    <w:rsid w:val="007D1AAC"/>
    <w:rsid w:val="007D1ABF"/>
    <w:rsid w:val="007D2652"/>
    <w:rsid w:val="007D3080"/>
    <w:rsid w:val="007D4164"/>
    <w:rsid w:val="007D49B9"/>
    <w:rsid w:val="007D4FEE"/>
    <w:rsid w:val="007D51C1"/>
    <w:rsid w:val="007D5355"/>
    <w:rsid w:val="007D5C96"/>
    <w:rsid w:val="007D5CA0"/>
    <w:rsid w:val="007D6876"/>
    <w:rsid w:val="007D757D"/>
    <w:rsid w:val="007D7622"/>
    <w:rsid w:val="007D7C02"/>
    <w:rsid w:val="007E2450"/>
    <w:rsid w:val="007E30FA"/>
    <w:rsid w:val="007E353F"/>
    <w:rsid w:val="007E7425"/>
    <w:rsid w:val="007E783D"/>
    <w:rsid w:val="007E7EDB"/>
    <w:rsid w:val="007F0229"/>
    <w:rsid w:val="007F0CCA"/>
    <w:rsid w:val="007F0D1F"/>
    <w:rsid w:val="007F172B"/>
    <w:rsid w:val="007F2923"/>
    <w:rsid w:val="007F2E03"/>
    <w:rsid w:val="007F3F38"/>
    <w:rsid w:val="007F4576"/>
    <w:rsid w:val="007F4D5B"/>
    <w:rsid w:val="007F5C42"/>
    <w:rsid w:val="007F7CDE"/>
    <w:rsid w:val="00800265"/>
    <w:rsid w:val="0080267A"/>
    <w:rsid w:val="0080292C"/>
    <w:rsid w:val="00802E2D"/>
    <w:rsid w:val="00804243"/>
    <w:rsid w:val="008049AB"/>
    <w:rsid w:val="008055BF"/>
    <w:rsid w:val="008074D5"/>
    <w:rsid w:val="0081050A"/>
    <w:rsid w:val="008110C0"/>
    <w:rsid w:val="008134C0"/>
    <w:rsid w:val="00814125"/>
    <w:rsid w:val="008151F6"/>
    <w:rsid w:val="0081796C"/>
    <w:rsid w:val="00817992"/>
    <w:rsid w:val="00817CD1"/>
    <w:rsid w:val="00822A1C"/>
    <w:rsid w:val="00822C6A"/>
    <w:rsid w:val="00825916"/>
    <w:rsid w:val="008267ED"/>
    <w:rsid w:val="00826F64"/>
    <w:rsid w:val="008330DF"/>
    <w:rsid w:val="00833749"/>
    <w:rsid w:val="0083391E"/>
    <w:rsid w:val="008350A8"/>
    <w:rsid w:val="00835131"/>
    <w:rsid w:val="008364FB"/>
    <w:rsid w:val="008366B9"/>
    <w:rsid w:val="00836D11"/>
    <w:rsid w:val="00840164"/>
    <w:rsid w:val="00842073"/>
    <w:rsid w:val="008436F4"/>
    <w:rsid w:val="00843CAE"/>
    <w:rsid w:val="00844108"/>
    <w:rsid w:val="008447C2"/>
    <w:rsid w:val="008464B1"/>
    <w:rsid w:val="00846EE3"/>
    <w:rsid w:val="008474FD"/>
    <w:rsid w:val="00847D98"/>
    <w:rsid w:val="008502A2"/>
    <w:rsid w:val="008517C7"/>
    <w:rsid w:val="008518E9"/>
    <w:rsid w:val="00852F65"/>
    <w:rsid w:val="008535BA"/>
    <w:rsid w:val="008558D9"/>
    <w:rsid w:val="00855BB3"/>
    <w:rsid w:val="00855D01"/>
    <w:rsid w:val="00856103"/>
    <w:rsid w:val="008564C4"/>
    <w:rsid w:val="00857047"/>
    <w:rsid w:val="008600AC"/>
    <w:rsid w:val="00860324"/>
    <w:rsid w:val="00860979"/>
    <w:rsid w:val="008609E5"/>
    <w:rsid w:val="008611A8"/>
    <w:rsid w:val="00861B40"/>
    <w:rsid w:val="008624C2"/>
    <w:rsid w:val="00862ED3"/>
    <w:rsid w:val="008638A1"/>
    <w:rsid w:val="00864960"/>
    <w:rsid w:val="00864ACE"/>
    <w:rsid w:val="00864C0A"/>
    <w:rsid w:val="0086573A"/>
    <w:rsid w:val="00867435"/>
    <w:rsid w:val="008731F4"/>
    <w:rsid w:val="00873919"/>
    <w:rsid w:val="00874CF6"/>
    <w:rsid w:val="00876991"/>
    <w:rsid w:val="008801E9"/>
    <w:rsid w:val="00880900"/>
    <w:rsid w:val="008812FB"/>
    <w:rsid w:val="00882A30"/>
    <w:rsid w:val="0088340A"/>
    <w:rsid w:val="008835A8"/>
    <w:rsid w:val="008849FF"/>
    <w:rsid w:val="00885340"/>
    <w:rsid w:val="00885CBF"/>
    <w:rsid w:val="00886021"/>
    <w:rsid w:val="008903E0"/>
    <w:rsid w:val="00892587"/>
    <w:rsid w:val="00893D6A"/>
    <w:rsid w:val="0089598C"/>
    <w:rsid w:val="00897717"/>
    <w:rsid w:val="00897F21"/>
    <w:rsid w:val="008A05B0"/>
    <w:rsid w:val="008A0D18"/>
    <w:rsid w:val="008A4434"/>
    <w:rsid w:val="008A6387"/>
    <w:rsid w:val="008B1E74"/>
    <w:rsid w:val="008B3A73"/>
    <w:rsid w:val="008B3DCE"/>
    <w:rsid w:val="008B4699"/>
    <w:rsid w:val="008B50EE"/>
    <w:rsid w:val="008B5495"/>
    <w:rsid w:val="008C09F7"/>
    <w:rsid w:val="008C1385"/>
    <w:rsid w:val="008C18CF"/>
    <w:rsid w:val="008C349B"/>
    <w:rsid w:val="008C4005"/>
    <w:rsid w:val="008C4982"/>
    <w:rsid w:val="008D0345"/>
    <w:rsid w:val="008D15E8"/>
    <w:rsid w:val="008D16B6"/>
    <w:rsid w:val="008D247A"/>
    <w:rsid w:val="008D4BCB"/>
    <w:rsid w:val="008D5BFB"/>
    <w:rsid w:val="008D6928"/>
    <w:rsid w:val="008D726D"/>
    <w:rsid w:val="008E0A1A"/>
    <w:rsid w:val="008E1CA3"/>
    <w:rsid w:val="008E381C"/>
    <w:rsid w:val="008E416B"/>
    <w:rsid w:val="008E4D33"/>
    <w:rsid w:val="008E554A"/>
    <w:rsid w:val="008E7547"/>
    <w:rsid w:val="008E7F64"/>
    <w:rsid w:val="008F2C57"/>
    <w:rsid w:val="008F2EFB"/>
    <w:rsid w:val="008F3236"/>
    <w:rsid w:val="008F3791"/>
    <w:rsid w:val="008F3C9E"/>
    <w:rsid w:val="008F42AB"/>
    <w:rsid w:val="008F4534"/>
    <w:rsid w:val="008F4802"/>
    <w:rsid w:val="008F5572"/>
    <w:rsid w:val="008F6288"/>
    <w:rsid w:val="008F71E7"/>
    <w:rsid w:val="00902274"/>
    <w:rsid w:val="00902B5F"/>
    <w:rsid w:val="00903311"/>
    <w:rsid w:val="009046F3"/>
    <w:rsid w:val="00905098"/>
    <w:rsid w:val="00905394"/>
    <w:rsid w:val="009059DE"/>
    <w:rsid w:val="00905EA8"/>
    <w:rsid w:val="00905EEF"/>
    <w:rsid w:val="00906411"/>
    <w:rsid w:val="00906585"/>
    <w:rsid w:val="009101A0"/>
    <w:rsid w:val="009111BB"/>
    <w:rsid w:val="0091291B"/>
    <w:rsid w:val="00912F9E"/>
    <w:rsid w:val="009146EB"/>
    <w:rsid w:val="0091605C"/>
    <w:rsid w:val="00916DBB"/>
    <w:rsid w:val="00923098"/>
    <w:rsid w:val="00923473"/>
    <w:rsid w:val="009239B9"/>
    <w:rsid w:val="00923DD7"/>
    <w:rsid w:val="00925024"/>
    <w:rsid w:val="0092575D"/>
    <w:rsid w:val="00934941"/>
    <w:rsid w:val="00936A41"/>
    <w:rsid w:val="009377AF"/>
    <w:rsid w:val="009411FE"/>
    <w:rsid w:val="009418F6"/>
    <w:rsid w:val="0094502B"/>
    <w:rsid w:val="00945B8C"/>
    <w:rsid w:val="0094727E"/>
    <w:rsid w:val="009473E6"/>
    <w:rsid w:val="00952FCC"/>
    <w:rsid w:val="009545BA"/>
    <w:rsid w:val="009565E1"/>
    <w:rsid w:val="00956E77"/>
    <w:rsid w:val="00957F31"/>
    <w:rsid w:val="009607FB"/>
    <w:rsid w:val="00960963"/>
    <w:rsid w:val="00963C24"/>
    <w:rsid w:val="00963CF6"/>
    <w:rsid w:val="009659B5"/>
    <w:rsid w:val="00965F0B"/>
    <w:rsid w:val="0096609B"/>
    <w:rsid w:val="00966A1A"/>
    <w:rsid w:val="00966B43"/>
    <w:rsid w:val="0096705C"/>
    <w:rsid w:val="00967AB8"/>
    <w:rsid w:val="00970628"/>
    <w:rsid w:val="00970AC5"/>
    <w:rsid w:val="009728F3"/>
    <w:rsid w:val="009733B4"/>
    <w:rsid w:val="00973D14"/>
    <w:rsid w:val="00974914"/>
    <w:rsid w:val="00975919"/>
    <w:rsid w:val="00975B58"/>
    <w:rsid w:val="00976B8C"/>
    <w:rsid w:val="00977441"/>
    <w:rsid w:val="00980366"/>
    <w:rsid w:val="00980556"/>
    <w:rsid w:val="009820B2"/>
    <w:rsid w:val="00982171"/>
    <w:rsid w:val="009822B9"/>
    <w:rsid w:val="0098264C"/>
    <w:rsid w:val="009829EC"/>
    <w:rsid w:val="00984BAE"/>
    <w:rsid w:val="00984D2E"/>
    <w:rsid w:val="00984E38"/>
    <w:rsid w:val="00986280"/>
    <w:rsid w:val="0098658E"/>
    <w:rsid w:val="009869CB"/>
    <w:rsid w:val="00987A23"/>
    <w:rsid w:val="009911CE"/>
    <w:rsid w:val="009915B8"/>
    <w:rsid w:val="00992250"/>
    <w:rsid w:val="00992576"/>
    <w:rsid w:val="00993604"/>
    <w:rsid w:val="00993681"/>
    <w:rsid w:val="00993DCF"/>
    <w:rsid w:val="0099420D"/>
    <w:rsid w:val="00994E12"/>
    <w:rsid w:val="00995133"/>
    <w:rsid w:val="0099567F"/>
    <w:rsid w:val="009957A9"/>
    <w:rsid w:val="00996708"/>
    <w:rsid w:val="00997E8F"/>
    <w:rsid w:val="00997FE2"/>
    <w:rsid w:val="009A015F"/>
    <w:rsid w:val="009A0F70"/>
    <w:rsid w:val="009A108C"/>
    <w:rsid w:val="009A11B6"/>
    <w:rsid w:val="009A183E"/>
    <w:rsid w:val="009A4134"/>
    <w:rsid w:val="009A415A"/>
    <w:rsid w:val="009A4584"/>
    <w:rsid w:val="009A4B93"/>
    <w:rsid w:val="009A4EBA"/>
    <w:rsid w:val="009A530A"/>
    <w:rsid w:val="009A6264"/>
    <w:rsid w:val="009A6CAF"/>
    <w:rsid w:val="009A7288"/>
    <w:rsid w:val="009A7A33"/>
    <w:rsid w:val="009B30FA"/>
    <w:rsid w:val="009B5369"/>
    <w:rsid w:val="009B64E8"/>
    <w:rsid w:val="009B7063"/>
    <w:rsid w:val="009C05D6"/>
    <w:rsid w:val="009C0FE4"/>
    <w:rsid w:val="009C1534"/>
    <w:rsid w:val="009C41E1"/>
    <w:rsid w:val="009C4736"/>
    <w:rsid w:val="009C692D"/>
    <w:rsid w:val="009D076E"/>
    <w:rsid w:val="009D17F3"/>
    <w:rsid w:val="009D1ED5"/>
    <w:rsid w:val="009D2077"/>
    <w:rsid w:val="009D2EB5"/>
    <w:rsid w:val="009D4A31"/>
    <w:rsid w:val="009D4CB3"/>
    <w:rsid w:val="009D50EA"/>
    <w:rsid w:val="009D52A5"/>
    <w:rsid w:val="009D63B0"/>
    <w:rsid w:val="009D65E3"/>
    <w:rsid w:val="009D7282"/>
    <w:rsid w:val="009E059C"/>
    <w:rsid w:val="009E4627"/>
    <w:rsid w:val="009E5034"/>
    <w:rsid w:val="009F09D7"/>
    <w:rsid w:val="009F10BA"/>
    <w:rsid w:val="009F254B"/>
    <w:rsid w:val="009F3220"/>
    <w:rsid w:val="009F3FCB"/>
    <w:rsid w:val="00A01569"/>
    <w:rsid w:val="00A03838"/>
    <w:rsid w:val="00A03873"/>
    <w:rsid w:val="00A05BBB"/>
    <w:rsid w:val="00A05C57"/>
    <w:rsid w:val="00A124C7"/>
    <w:rsid w:val="00A13055"/>
    <w:rsid w:val="00A15CD7"/>
    <w:rsid w:val="00A16E14"/>
    <w:rsid w:val="00A21307"/>
    <w:rsid w:val="00A21395"/>
    <w:rsid w:val="00A21EEE"/>
    <w:rsid w:val="00A2215E"/>
    <w:rsid w:val="00A229B1"/>
    <w:rsid w:val="00A22EB5"/>
    <w:rsid w:val="00A24794"/>
    <w:rsid w:val="00A27137"/>
    <w:rsid w:val="00A30E2B"/>
    <w:rsid w:val="00A31396"/>
    <w:rsid w:val="00A31ACD"/>
    <w:rsid w:val="00A31F51"/>
    <w:rsid w:val="00A3218F"/>
    <w:rsid w:val="00A32C8F"/>
    <w:rsid w:val="00A34081"/>
    <w:rsid w:val="00A341CF"/>
    <w:rsid w:val="00A34372"/>
    <w:rsid w:val="00A3644D"/>
    <w:rsid w:val="00A367A3"/>
    <w:rsid w:val="00A37242"/>
    <w:rsid w:val="00A40E97"/>
    <w:rsid w:val="00A412B9"/>
    <w:rsid w:val="00A41582"/>
    <w:rsid w:val="00A419E7"/>
    <w:rsid w:val="00A41B3A"/>
    <w:rsid w:val="00A41E62"/>
    <w:rsid w:val="00A43C65"/>
    <w:rsid w:val="00A4692A"/>
    <w:rsid w:val="00A50084"/>
    <w:rsid w:val="00A501F1"/>
    <w:rsid w:val="00A50246"/>
    <w:rsid w:val="00A50BF9"/>
    <w:rsid w:val="00A50C96"/>
    <w:rsid w:val="00A51B7B"/>
    <w:rsid w:val="00A531E6"/>
    <w:rsid w:val="00A53E6B"/>
    <w:rsid w:val="00A54497"/>
    <w:rsid w:val="00A62320"/>
    <w:rsid w:val="00A62738"/>
    <w:rsid w:val="00A62FD2"/>
    <w:rsid w:val="00A630E0"/>
    <w:rsid w:val="00A6344D"/>
    <w:rsid w:val="00A63BF8"/>
    <w:rsid w:val="00A6466F"/>
    <w:rsid w:val="00A649E3"/>
    <w:rsid w:val="00A66CC8"/>
    <w:rsid w:val="00A674DA"/>
    <w:rsid w:val="00A719B5"/>
    <w:rsid w:val="00A73B4A"/>
    <w:rsid w:val="00A74A00"/>
    <w:rsid w:val="00A74D83"/>
    <w:rsid w:val="00A76BB0"/>
    <w:rsid w:val="00A76DDF"/>
    <w:rsid w:val="00A76E71"/>
    <w:rsid w:val="00A76EDF"/>
    <w:rsid w:val="00A773C7"/>
    <w:rsid w:val="00A77F2A"/>
    <w:rsid w:val="00A81142"/>
    <w:rsid w:val="00A83F1A"/>
    <w:rsid w:val="00A84D4E"/>
    <w:rsid w:val="00A86576"/>
    <w:rsid w:val="00A86587"/>
    <w:rsid w:val="00A86801"/>
    <w:rsid w:val="00A86CB2"/>
    <w:rsid w:val="00A86E67"/>
    <w:rsid w:val="00A871CF"/>
    <w:rsid w:val="00A87AB5"/>
    <w:rsid w:val="00A9363C"/>
    <w:rsid w:val="00A9467E"/>
    <w:rsid w:val="00A94988"/>
    <w:rsid w:val="00A950A5"/>
    <w:rsid w:val="00A95C80"/>
    <w:rsid w:val="00A96202"/>
    <w:rsid w:val="00A96A55"/>
    <w:rsid w:val="00A96AA4"/>
    <w:rsid w:val="00A9722C"/>
    <w:rsid w:val="00AA2801"/>
    <w:rsid w:val="00AA2B39"/>
    <w:rsid w:val="00AA3723"/>
    <w:rsid w:val="00AA548D"/>
    <w:rsid w:val="00AA5542"/>
    <w:rsid w:val="00AA5783"/>
    <w:rsid w:val="00AA5DD0"/>
    <w:rsid w:val="00AA6EAE"/>
    <w:rsid w:val="00AA78C4"/>
    <w:rsid w:val="00AB02BF"/>
    <w:rsid w:val="00AB04E3"/>
    <w:rsid w:val="00AB14F4"/>
    <w:rsid w:val="00AB2EEF"/>
    <w:rsid w:val="00AB507E"/>
    <w:rsid w:val="00AB5364"/>
    <w:rsid w:val="00AB5456"/>
    <w:rsid w:val="00AB5566"/>
    <w:rsid w:val="00AC1DC6"/>
    <w:rsid w:val="00AC2AC5"/>
    <w:rsid w:val="00AC56FF"/>
    <w:rsid w:val="00AC5CF3"/>
    <w:rsid w:val="00AC63DE"/>
    <w:rsid w:val="00AC6CAB"/>
    <w:rsid w:val="00AC7B7E"/>
    <w:rsid w:val="00AD2B7B"/>
    <w:rsid w:val="00AD4A86"/>
    <w:rsid w:val="00AD5091"/>
    <w:rsid w:val="00AD5EBF"/>
    <w:rsid w:val="00AE00BD"/>
    <w:rsid w:val="00AE0F77"/>
    <w:rsid w:val="00AE522E"/>
    <w:rsid w:val="00AE59C3"/>
    <w:rsid w:val="00AF2046"/>
    <w:rsid w:val="00AF21FE"/>
    <w:rsid w:val="00AF2866"/>
    <w:rsid w:val="00AF4430"/>
    <w:rsid w:val="00AF5139"/>
    <w:rsid w:val="00AF568A"/>
    <w:rsid w:val="00AF5CF3"/>
    <w:rsid w:val="00AF6325"/>
    <w:rsid w:val="00AF6723"/>
    <w:rsid w:val="00AF68E9"/>
    <w:rsid w:val="00AF756D"/>
    <w:rsid w:val="00B0089F"/>
    <w:rsid w:val="00B03D0B"/>
    <w:rsid w:val="00B04D13"/>
    <w:rsid w:val="00B06526"/>
    <w:rsid w:val="00B07C15"/>
    <w:rsid w:val="00B07C31"/>
    <w:rsid w:val="00B07E85"/>
    <w:rsid w:val="00B10294"/>
    <w:rsid w:val="00B107DD"/>
    <w:rsid w:val="00B11502"/>
    <w:rsid w:val="00B12AE9"/>
    <w:rsid w:val="00B12BA0"/>
    <w:rsid w:val="00B14A86"/>
    <w:rsid w:val="00B1615C"/>
    <w:rsid w:val="00B1786F"/>
    <w:rsid w:val="00B216B6"/>
    <w:rsid w:val="00B21FFF"/>
    <w:rsid w:val="00B22B4A"/>
    <w:rsid w:val="00B2643C"/>
    <w:rsid w:val="00B274A0"/>
    <w:rsid w:val="00B27900"/>
    <w:rsid w:val="00B27CF5"/>
    <w:rsid w:val="00B306F0"/>
    <w:rsid w:val="00B30F7A"/>
    <w:rsid w:val="00B3140F"/>
    <w:rsid w:val="00B316B4"/>
    <w:rsid w:val="00B324ED"/>
    <w:rsid w:val="00B325FA"/>
    <w:rsid w:val="00B33BB7"/>
    <w:rsid w:val="00B33C24"/>
    <w:rsid w:val="00B36797"/>
    <w:rsid w:val="00B36D91"/>
    <w:rsid w:val="00B36FA9"/>
    <w:rsid w:val="00B401F1"/>
    <w:rsid w:val="00B4046B"/>
    <w:rsid w:val="00B432E5"/>
    <w:rsid w:val="00B45B9B"/>
    <w:rsid w:val="00B5090E"/>
    <w:rsid w:val="00B50AB1"/>
    <w:rsid w:val="00B511C1"/>
    <w:rsid w:val="00B51636"/>
    <w:rsid w:val="00B53AA3"/>
    <w:rsid w:val="00B53B82"/>
    <w:rsid w:val="00B550A8"/>
    <w:rsid w:val="00B60155"/>
    <w:rsid w:val="00B605B3"/>
    <w:rsid w:val="00B619D0"/>
    <w:rsid w:val="00B632A1"/>
    <w:rsid w:val="00B63835"/>
    <w:rsid w:val="00B655CC"/>
    <w:rsid w:val="00B655D6"/>
    <w:rsid w:val="00B70A24"/>
    <w:rsid w:val="00B72501"/>
    <w:rsid w:val="00B74EDA"/>
    <w:rsid w:val="00B7515B"/>
    <w:rsid w:val="00B817F9"/>
    <w:rsid w:val="00B8200A"/>
    <w:rsid w:val="00B82382"/>
    <w:rsid w:val="00B82B3D"/>
    <w:rsid w:val="00B83D3B"/>
    <w:rsid w:val="00B846A7"/>
    <w:rsid w:val="00B84F32"/>
    <w:rsid w:val="00B90A48"/>
    <w:rsid w:val="00B9285D"/>
    <w:rsid w:val="00B92952"/>
    <w:rsid w:val="00B930EE"/>
    <w:rsid w:val="00B9518B"/>
    <w:rsid w:val="00B97EF2"/>
    <w:rsid w:val="00BA0AEF"/>
    <w:rsid w:val="00BA11FB"/>
    <w:rsid w:val="00BA1606"/>
    <w:rsid w:val="00BA7086"/>
    <w:rsid w:val="00BA7A20"/>
    <w:rsid w:val="00BA7E97"/>
    <w:rsid w:val="00BB0096"/>
    <w:rsid w:val="00BB0189"/>
    <w:rsid w:val="00BB19FC"/>
    <w:rsid w:val="00BB3B5E"/>
    <w:rsid w:val="00BB4D6D"/>
    <w:rsid w:val="00BB5167"/>
    <w:rsid w:val="00BB5554"/>
    <w:rsid w:val="00BB7574"/>
    <w:rsid w:val="00BB786E"/>
    <w:rsid w:val="00BC0313"/>
    <w:rsid w:val="00BC293A"/>
    <w:rsid w:val="00BC4A74"/>
    <w:rsid w:val="00BC4C3B"/>
    <w:rsid w:val="00BC7338"/>
    <w:rsid w:val="00BD0C45"/>
    <w:rsid w:val="00BD2931"/>
    <w:rsid w:val="00BD35A5"/>
    <w:rsid w:val="00BD4FDC"/>
    <w:rsid w:val="00BD5177"/>
    <w:rsid w:val="00BD62BA"/>
    <w:rsid w:val="00BD723D"/>
    <w:rsid w:val="00BD7D08"/>
    <w:rsid w:val="00BD7F8D"/>
    <w:rsid w:val="00BE0D8E"/>
    <w:rsid w:val="00BE0F03"/>
    <w:rsid w:val="00BE0F5A"/>
    <w:rsid w:val="00BE2253"/>
    <w:rsid w:val="00BE2AB5"/>
    <w:rsid w:val="00BE5393"/>
    <w:rsid w:val="00BE66AF"/>
    <w:rsid w:val="00BE7AFB"/>
    <w:rsid w:val="00BF0B94"/>
    <w:rsid w:val="00BF35A6"/>
    <w:rsid w:val="00BF6AC6"/>
    <w:rsid w:val="00C000B9"/>
    <w:rsid w:val="00C00575"/>
    <w:rsid w:val="00C00F13"/>
    <w:rsid w:val="00C00F6C"/>
    <w:rsid w:val="00C011E1"/>
    <w:rsid w:val="00C013C9"/>
    <w:rsid w:val="00C02B38"/>
    <w:rsid w:val="00C02EFC"/>
    <w:rsid w:val="00C02F8B"/>
    <w:rsid w:val="00C03DC3"/>
    <w:rsid w:val="00C048AB"/>
    <w:rsid w:val="00C06E97"/>
    <w:rsid w:val="00C103A6"/>
    <w:rsid w:val="00C10548"/>
    <w:rsid w:val="00C10857"/>
    <w:rsid w:val="00C12F74"/>
    <w:rsid w:val="00C1325D"/>
    <w:rsid w:val="00C14540"/>
    <w:rsid w:val="00C14A03"/>
    <w:rsid w:val="00C14A9A"/>
    <w:rsid w:val="00C14D0A"/>
    <w:rsid w:val="00C16038"/>
    <w:rsid w:val="00C2033B"/>
    <w:rsid w:val="00C20D1C"/>
    <w:rsid w:val="00C213B3"/>
    <w:rsid w:val="00C2155C"/>
    <w:rsid w:val="00C22474"/>
    <w:rsid w:val="00C22E41"/>
    <w:rsid w:val="00C22FE3"/>
    <w:rsid w:val="00C231FA"/>
    <w:rsid w:val="00C23FF1"/>
    <w:rsid w:val="00C25270"/>
    <w:rsid w:val="00C27EA6"/>
    <w:rsid w:val="00C30759"/>
    <w:rsid w:val="00C30F77"/>
    <w:rsid w:val="00C312FD"/>
    <w:rsid w:val="00C314C9"/>
    <w:rsid w:val="00C321DB"/>
    <w:rsid w:val="00C3311B"/>
    <w:rsid w:val="00C339ED"/>
    <w:rsid w:val="00C34338"/>
    <w:rsid w:val="00C35E0C"/>
    <w:rsid w:val="00C3655F"/>
    <w:rsid w:val="00C37308"/>
    <w:rsid w:val="00C40AE0"/>
    <w:rsid w:val="00C42096"/>
    <w:rsid w:val="00C42D92"/>
    <w:rsid w:val="00C4319C"/>
    <w:rsid w:val="00C461AB"/>
    <w:rsid w:val="00C515F7"/>
    <w:rsid w:val="00C525A5"/>
    <w:rsid w:val="00C52F6B"/>
    <w:rsid w:val="00C53E3C"/>
    <w:rsid w:val="00C55A7C"/>
    <w:rsid w:val="00C57F41"/>
    <w:rsid w:val="00C618EA"/>
    <w:rsid w:val="00C6251D"/>
    <w:rsid w:val="00C627A0"/>
    <w:rsid w:val="00C64149"/>
    <w:rsid w:val="00C6671E"/>
    <w:rsid w:val="00C676A5"/>
    <w:rsid w:val="00C72160"/>
    <w:rsid w:val="00C72631"/>
    <w:rsid w:val="00C75073"/>
    <w:rsid w:val="00C75B9D"/>
    <w:rsid w:val="00C77A9D"/>
    <w:rsid w:val="00C809DF"/>
    <w:rsid w:val="00C82536"/>
    <w:rsid w:val="00C83257"/>
    <w:rsid w:val="00C8372F"/>
    <w:rsid w:val="00C9046E"/>
    <w:rsid w:val="00C91F40"/>
    <w:rsid w:val="00C9237F"/>
    <w:rsid w:val="00C92622"/>
    <w:rsid w:val="00C96AA0"/>
    <w:rsid w:val="00C973F9"/>
    <w:rsid w:val="00C9744F"/>
    <w:rsid w:val="00CA0B7C"/>
    <w:rsid w:val="00CA49D3"/>
    <w:rsid w:val="00CA6809"/>
    <w:rsid w:val="00CB0169"/>
    <w:rsid w:val="00CB0828"/>
    <w:rsid w:val="00CB17BC"/>
    <w:rsid w:val="00CB2D1A"/>
    <w:rsid w:val="00CB5441"/>
    <w:rsid w:val="00CB55BF"/>
    <w:rsid w:val="00CB5664"/>
    <w:rsid w:val="00CB57AE"/>
    <w:rsid w:val="00CB6353"/>
    <w:rsid w:val="00CB6BF9"/>
    <w:rsid w:val="00CB7575"/>
    <w:rsid w:val="00CB7E7B"/>
    <w:rsid w:val="00CC1DF0"/>
    <w:rsid w:val="00CC2B1C"/>
    <w:rsid w:val="00CC386F"/>
    <w:rsid w:val="00CC502B"/>
    <w:rsid w:val="00CC7D4F"/>
    <w:rsid w:val="00CD0296"/>
    <w:rsid w:val="00CD05BF"/>
    <w:rsid w:val="00CD0855"/>
    <w:rsid w:val="00CD0C21"/>
    <w:rsid w:val="00CD1191"/>
    <w:rsid w:val="00CD34F1"/>
    <w:rsid w:val="00CD4E3D"/>
    <w:rsid w:val="00CD597A"/>
    <w:rsid w:val="00CD59C9"/>
    <w:rsid w:val="00CD6536"/>
    <w:rsid w:val="00CE28DC"/>
    <w:rsid w:val="00CE387A"/>
    <w:rsid w:val="00CE4DD1"/>
    <w:rsid w:val="00CE7F55"/>
    <w:rsid w:val="00CF0528"/>
    <w:rsid w:val="00CF14C4"/>
    <w:rsid w:val="00CF1EF4"/>
    <w:rsid w:val="00CF2176"/>
    <w:rsid w:val="00CF2A4C"/>
    <w:rsid w:val="00CF2FC1"/>
    <w:rsid w:val="00CF3A7F"/>
    <w:rsid w:val="00CF3F4C"/>
    <w:rsid w:val="00CF3F50"/>
    <w:rsid w:val="00CF55F8"/>
    <w:rsid w:val="00CF691D"/>
    <w:rsid w:val="00D010F8"/>
    <w:rsid w:val="00D028CE"/>
    <w:rsid w:val="00D07239"/>
    <w:rsid w:val="00D07D47"/>
    <w:rsid w:val="00D07EF6"/>
    <w:rsid w:val="00D1093D"/>
    <w:rsid w:val="00D1143F"/>
    <w:rsid w:val="00D11804"/>
    <w:rsid w:val="00D12933"/>
    <w:rsid w:val="00D13861"/>
    <w:rsid w:val="00D1434B"/>
    <w:rsid w:val="00D151B9"/>
    <w:rsid w:val="00D1592A"/>
    <w:rsid w:val="00D15E0D"/>
    <w:rsid w:val="00D1645F"/>
    <w:rsid w:val="00D17709"/>
    <w:rsid w:val="00D20F60"/>
    <w:rsid w:val="00D213DE"/>
    <w:rsid w:val="00D22CF7"/>
    <w:rsid w:val="00D2456C"/>
    <w:rsid w:val="00D2522B"/>
    <w:rsid w:val="00D2568E"/>
    <w:rsid w:val="00D26B81"/>
    <w:rsid w:val="00D2748F"/>
    <w:rsid w:val="00D32D76"/>
    <w:rsid w:val="00D32FE6"/>
    <w:rsid w:val="00D337C1"/>
    <w:rsid w:val="00D4086C"/>
    <w:rsid w:val="00D41808"/>
    <w:rsid w:val="00D42D2C"/>
    <w:rsid w:val="00D437A9"/>
    <w:rsid w:val="00D43F42"/>
    <w:rsid w:val="00D47579"/>
    <w:rsid w:val="00D47A88"/>
    <w:rsid w:val="00D5215E"/>
    <w:rsid w:val="00D52966"/>
    <w:rsid w:val="00D55299"/>
    <w:rsid w:val="00D553CB"/>
    <w:rsid w:val="00D60659"/>
    <w:rsid w:val="00D62A84"/>
    <w:rsid w:val="00D6464B"/>
    <w:rsid w:val="00D646FF"/>
    <w:rsid w:val="00D664BE"/>
    <w:rsid w:val="00D6688A"/>
    <w:rsid w:val="00D676D6"/>
    <w:rsid w:val="00D679B6"/>
    <w:rsid w:val="00D703A8"/>
    <w:rsid w:val="00D707E6"/>
    <w:rsid w:val="00D715DD"/>
    <w:rsid w:val="00D71A40"/>
    <w:rsid w:val="00D723D4"/>
    <w:rsid w:val="00D7273D"/>
    <w:rsid w:val="00D72795"/>
    <w:rsid w:val="00D72A09"/>
    <w:rsid w:val="00D7419C"/>
    <w:rsid w:val="00D755C7"/>
    <w:rsid w:val="00D769A0"/>
    <w:rsid w:val="00D76A81"/>
    <w:rsid w:val="00D80352"/>
    <w:rsid w:val="00D80AA3"/>
    <w:rsid w:val="00D8120A"/>
    <w:rsid w:val="00D81B9F"/>
    <w:rsid w:val="00D82062"/>
    <w:rsid w:val="00D82437"/>
    <w:rsid w:val="00D82DE7"/>
    <w:rsid w:val="00D83C38"/>
    <w:rsid w:val="00D85A52"/>
    <w:rsid w:val="00D901E6"/>
    <w:rsid w:val="00D91ED4"/>
    <w:rsid w:val="00D9390A"/>
    <w:rsid w:val="00D9625D"/>
    <w:rsid w:val="00D96F8A"/>
    <w:rsid w:val="00D9706B"/>
    <w:rsid w:val="00DA0C1D"/>
    <w:rsid w:val="00DA41B9"/>
    <w:rsid w:val="00DB07A4"/>
    <w:rsid w:val="00DB1795"/>
    <w:rsid w:val="00DB1E97"/>
    <w:rsid w:val="00DB2206"/>
    <w:rsid w:val="00DB2285"/>
    <w:rsid w:val="00DB3BDF"/>
    <w:rsid w:val="00DB4024"/>
    <w:rsid w:val="00DB6F94"/>
    <w:rsid w:val="00DB722F"/>
    <w:rsid w:val="00DB7D78"/>
    <w:rsid w:val="00DB7FC8"/>
    <w:rsid w:val="00DC4CA7"/>
    <w:rsid w:val="00DC704F"/>
    <w:rsid w:val="00DC717E"/>
    <w:rsid w:val="00DC7398"/>
    <w:rsid w:val="00DC78B7"/>
    <w:rsid w:val="00DD051F"/>
    <w:rsid w:val="00DD0AC1"/>
    <w:rsid w:val="00DD0F60"/>
    <w:rsid w:val="00DD25A5"/>
    <w:rsid w:val="00DD3083"/>
    <w:rsid w:val="00DD650E"/>
    <w:rsid w:val="00DD66EB"/>
    <w:rsid w:val="00DD746C"/>
    <w:rsid w:val="00DE0B89"/>
    <w:rsid w:val="00DE0F00"/>
    <w:rsid w:val="00DE2012"/>
    <w:rsid w:val="00DE2022"/>
    <w:rsid w:val="00DE2D3B"/>
    <w:rsid w:val="00DE3DDC"/>
    <w:rsid w:val="00DE45E1"/>
    <w:rsid w:val="00DE61AB"/>
    <w:rsid w:val="00DF04E9"/>
    <w:rsid w:val="00DF13AE"/>
    <w:rsid w:val="00DF1C19"/>
    <w:rsid w:val="00DF2451"/>
    <w:rsid w:val="00DF4E08"/>
    <w:rsid w:val="00DF70B3"/>
    <w:rsid w:val="00DF7482"/>
    <w:rsid w:val="00DF766E"/>
    <w:rsid w:val="00E00A47"/>
    <w:rsid w:val="00E01C8C"/>
    <w:rsid w:val="00E03C22"/>
    <w:rsid w:val="00E04D8B"/>
    <w:rsid w:val="00E0540C"/>
    <w:rsid w:val="00E056F4"/>
    <w:rsid w:val="00E05ADF"/>
    <w:rsid w:val="00E10DFF"/>
    <w:rsid w:val="00E111BE"/>
    <w:rsid w:val="00E11FA5"/>
    <w:rsid w:val="00E12D6D"/>
    <w:rsid w:val="00E1308E"/>
    <w:rsid w:val="00E14A42"/>
    <w:rsid w:val="00E16117"/>
    <w:rsid w:val="00E1670E"/>
    <w:rsid w:val="00E20280"/>
    <w:rsid w:val="00E2229A"/>
    <w:rsid w:val="00E2387E"/>
    <w:rsid w:val="00E24F94"/>
    <w:rsid w:val="00E26AE5"/>
    <w:rsid w:val="00E26BA0"/>
    <w:rsid w:val="00E27302"/>
    <w:rsid w:val="00E3001E"/>
    <w:rsid w:val="00E325DA"/>
    <w:rsid w:val="00E32BB9"/>
    <w:rsid w:val="00E338D6"/>
    <w:rsid w:val="00E33E8D"/>
    <w:rsid w:val="00E3444A"/>
    <w:rsid w:val="00E34AF6"/>
    <w:rsid w:val="00E3575B"/>
    <w:rsid w:val="00E36EA9"/>
    <w:rsid w:val="00E372A1"/>
    <w:rsid w:val="00E37669"/>
    <w:rsid w:val="00E37CF6"/>
    <w:rsid w:val="00E4118F"/>
    <w:rsid w:val="00E41BEA"/>
    <w:rsid w:val="00E42110"/>
    <w:rsid w:val="00E4243B"/>
    <w:rsid w:val="00E42623"/>
    <w:rsid w:val="00E433A7"/>
    <w:rsid w:val="00E455A3"/>
    <w:rsid w:val="00E4585F"/>
    <w:rsid w:val="00E46290"/>
    <w:rsid w:val="00E46D0A"/>
    <w:rsid w:val="00E4734F"/>
    <w:rsid w:val="00E47902"/>
    <w:rsid w:val="00E47DC0"/>
    <w:rsid w:val="00E47E06"/>
    <w:rsid w:val="00E52A73"/>
    <w:rsid w:val="00E5558F"/>
    <w:rsid w:val="00E60190"/>
    <w:rsid w:val="00E62027"/>
    <w:rsid w:val="00E6354A"/>
    <w:rsid w:val="00E63712"/>
    <w:rsid w:val="00E64C7C"/>
    <w:rsid w:val="00E6519D"/>
    <w:rsid w:val="00E65BE7"/>
    <w:rsid w:val="00E65E2F"/>
    <w:rsid w:val="00E7284F"/>
    <w:rsid w:val="00E74837"/>
    <w:rsid w:val="00E75473"/>
    <w:rsid w:val="00E75B9E"/>
    <w:rsid w:val="00E76500"/>
    <w:rsid w:val="00E83ABF"/>
    <w:rsid w:val="00E83D77"/>
    <w:rsid w:val="00E83E01"/>
    <w:rsid w:val="00E852B4"/>
    <w:rsid w:val="00E85F49"/>
    <w:rsid w:val="00E86412"/>
    <w:rsid w:val="00E86BAF"/>
    <w:rsid w:val="00E87B3B"/>
    <w:rsid w:val="00E87E2B"/>
    <w:rsid w:val="00E90141"/>
    <w:rsid w:val="00E907DA"/>
    <w:rsid w:val="00E92B3E"/>
    <w:rsid w:val="00E947B8"/>
    <w:rsid w:val="00E94F09"/>
    <w:rsid w:val="00E968C1"/>
    <w:rsid w:val="00E96A6E"/>
    <w:rsid w:val="00EA0A37"/>
    <w:rsid w:val="00EA1054"/>
    <w:rsid w:val="00EA1409"/>
    <w:rsid w:val="00EA1A51"/>
    <w:rsid w:val="00EA204F"/>
    <w:rsid w:val="00EA23EA"/>
    <w:rsid w:val="00EA25D6"/>
    <w:rsid w:val="00EA4365"/>
    <w:rsid w:val="00EA4F1D"/>
    <w:rsid w:val="00EA7D34"/>
    <w:rsid w:val="00EB1E61"/>
    <w:rsid w:val="00EB230A"/>
    <w:rsid w:val="00EB2810"/>
    <w:rsid w:val="00EB2BD9"/>
    <w:rsid w:val="00EB31D3"/>
    <w:rsid w:val="00EB3AC4"/>
    <w:rsid w:val="00EB3F22"/>
    <w:rsid w:val="00EC0630"/>
    <w:rsid w:val="00EC07DD"/>
    <w:rsid w:val="00EC1435"/>
    <w:rsid w:val="00EC16B7"/>
    <w:rsid w:val="00EC16CE"/>
    <w:rsid w:val="00EC1FD1"/>
    <w:rsid w:val="00EC3004"/>
    <w:rsid w:val="00EC49CD"/>
    <w:rsid w:val="00EC5FD9"/>
    <w:rsid w:val="00EC66CE"/>
    <w:rsid w:val="00EC6E10"/>
    <w:rsid w:val="00ED2ADA"/>
    <w:rsid w:val="00ED3E5C"/>
    <w:rsid w:val="00ED408F"/>
    <w:rsid w:val="00ED45B2"/>
    <w:rsid w:val="00ED5765"/>
    <w:rsid w:val="00ED5D31"/>
    <w:rsid w:val="00ED7000"/>
    <w:rsid w:val="00ED7466"/>
    <w:rsid w:val="00ED7D0F"/>
    <w:rsid w:val="00ED7EC9"/>
    <w:rsid w:val="00EE0A8C"/>
    <w:rsid w:val="00EE2418"/>
    <w:rsid w:val="00EF35CC"/>
    <w:rsid w:val="00EF3791"/>
    <w:rsid w:val="00EF55B2"/>
    <w:rsid w:val="00EF5E3B"/>
    <w:rsid w:val="00EF679C"/>
    <w:rsid w:val="00EF6D9C"/>
    <w:rsid w:val="00EF7100"/>
    <w:rsid w:val="00EF7AB0"/>
    <w:rsid w:val="00EF7CF6"/>
    <w:rsid w:val="00F030A9"/>
    <w:rsid w:val="00F035A1"/>
    <w:rsid w:val="00F03815"/>
    <w:rsid w:val="00F047C7"/>
    <w:rsid w:val="00F04918"/>
    <w:rsid w:val="00F06299"/>
    <w:rsid w:val="00F06638"/>
    <w:rsid w:val="00F075EC"/>
    <w:rsid w:val="00F12D0B"/>
    <w:rsid w:val="00F12E74"/>
    <w:rsid w:val="00F12F0F"/>
    <w:rsid w:val="00F13D74"/>
    <w:rsid w:val="00F14D0B"/>
    <w:rsid w:val="00F16D84"/>
    <w:rsid w:val="00F17503"/>
    <w:rsid w:val="00F201FC"/>
    <w:rsid w:val="00F23450"/>
    <w:rsid w:val="00F246A3"/>
    <w:rsid w:val="00F24EB3"/>
    <w:rsid w:val="00F30505"/>
    <w:rsid w:val="00F306B0"/>
    <w:rsid w:val="00F31B59"/>
    <w:rsid w:val="00F323F8"/>
    <w:rsid w:val="00F32E9C"/>
    <w:rsid w:val="00F342A7"/>
    <w:rsid w:val="00F3462E"/>
    <w:rsid w:val="00F35DC2"/>
    <w:rsid w:val="00F360CD"/>
    <w:rsid w:val="00F37CE3"/>
    <w:rsid w:val="00F4168A"/>
    <w:rsid w:val="00F4171C"/>
    <w:rsid w:val="00F42305"/>
    <w:rsid w:val="00F424B8"/>
    <w:rsid w:val="00F42FD1"/>
    <w:rsid w:val="00F43914"/>
    <w:rsid w:val="00F453C7"/>
    <w:rsid w:val="00F454AB"/>
    <w:rsid w:val="00F460A2"/>
    <w:rsid w:val="00F466DE"/>
    <w:rsid w:val="00F46879"/>
    <w:rsid w:val="00F4714F"/>
    <w:rsid w:val="00F47F7A"/>
    <w:rsid w:val="00F52165"/>
    <w:rsid w:val="00F53559"/>
    <w:rsid w:val="00F53D85"/>
    <w:rsid w:val="00F54322"/>
    <w:rsid w:val="00F5495F"/>
    <w:rsid w:val="00F56D24"/>
    <w:rsid w:val="00F575D2"/>
    <w:rsid w:val="00F603A6"/>
    <w:rsid w:val="00F609B6"/>
    <w:rsid w:val="00F65316"/>
    <w:rsid w:val="00F67F5F"/>
    <w:rsid w:val="00F70491"/>
    <w:rsid w:val="00F70AE7"/>
    <w:rsid w:val="00F716E3"/>
    <w:rsid w:val="00F7362F"/>
    <w:rsid w:val="00F760FA"/>
    <w:rsid w:val="00F76476"/>
    <w:rsid w:val="00F77CBA"/>
    <w:rsid w:val="00F77F91"/>
    <w:rsid w:val="00F811F3"/>
    <w:rsid w:val="00F82455"/>
    <w:rsid w:val="00F82683"/>
    <w:rsid w:val="00F83B74"/>
    <w:rsid w:val="00F85112"/>
    <w:rsid w:val="00F859FE"/>
    <w:rsid w:val="00F86035"/>
    <w:rsid w:val="00F86C9E"/>
    <w:rsid w:val="00F93DB9"/>
    <w:rsid w:val="00F93E86"/>
    <w:rsid w:val="00F93F29"/>
    <w:rsid w:val="00F94642"/>
    <w:rsid w:val="00F94F61"/>
    <w:rsid w:val="00F965D3"/>
    <w:rsid w:val="00FA0549"/>
    <w:rsid w:val="00FA0B99"/>
    <w:rsid w:val="00FA1371"/>
    <w:rsid w:val="00FA1B96"/>
    <w:rsid w:val="00FA220D"/>
    <w:rsid w:val="00FA295D"/>
    <w:rsid w:val="00FA2A2D"/>
    <w:rsid w:val="00FA37B0"/>
    <w:rsid w:val="00FA7964"/>
    <w:rsid w:val="00FA7F2D"/>
    <w:rsid w:val="00FB0691"/>
    <w:rsid w:val="00FB1FA0"/>
    <w:rsid w:val="00FB24ED"/>
    <w:rsid w:val="00FB41A8"/>
    <w:rsid w:val="00FB5297"/>
    <w:rsid w:val="00FB52C7"/>
    <w:rsid w:val="00FB5500"/>
    <w:rsid w:val="00FC1559"/>
    <w:rsid w:val="00FC2AE4"/>
    <w:rsid w:val="00FC3995"/>
    <w:rsid w:val="00FC5718"/>
    <w:rsid w:val="00FC5BFA"/>
    <w:rsid w:val="00FC6439"/>
    <w:rsid w:val="00FD0EBF"/>
    <w:rsid w:val="00FD180B"/>
    <w:rsid w:val="00FD271D"/>
    <w:rsid w:val="00FD2858"/>
    <w:rsid w:val="00FD4DC6"/>
    <w:rsid w:val="00FD66CA"/>
    <w:rsid w:val="00FD713F"/>
    <w:rsid w:val="00FD7600"/>
    <w:rsid w:val="00FE0DE7"/>
    <w:rsid w:val="00FE1028"/>
    <w:rsid w:val="00FE24CA"/>
    <w:rsid w:val="00FE3D19"/>
    <w:rsid w:val="00FE4CB4"/>
    <w:rsid w:val="00FE50CC"/>
    <w:rsid w:val="00FE51EF"/>
    <w:rsid w:val="00FE5A1C"/>
    <w:rsid w:val="00FF074E"/>
    <w:rsid w:val="00FF0C5B"/>
    <w:rsid w:val="00FF24DA"/>
    <w:rsid w:val="00FF2D6F"/>
    <w:rsid w:val="00FF3506"/>
    <w:rsid w:val="00FF3A6F"/>
    <w:rsid w:val="00FF3B16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CF5"/>
    <w:rPr>
      <w:sz w:val="24"/>
      <w:szCs w:val="24"/>
    </w:rPr>
  </w:style>
  <w:style w:type="paragraph" w:styleId="1">
    <w:name w:val="heading 1"/>
    <w:basedOn w:val="a"/>
    <w:next w:val="a"/>
    <w:qFormat/>
    <w:rsid w:val="00764CF5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E94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4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64CF5"/>
    <w:pPr>
      <w:spacing w:after="120"/>
    </w:pPr>
  </w:style>
  <w:style w:type="paragraph" w:styleId="a5">
    <w:name w:val="footer"/>
    <w:basedOn w:val="a"/>
    <w:rsid w:val="00764C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4CF5"/>
  </w:style>
  <w:style w:type="paragraph" w:styleId="31">
    <w:name w:val="Body Text 3"/>
    <w:basedOn w:val="a"/>
    <w:link w:val="32"/>
    <w:rsid w:val="005E50F3"/>
    <w:pPr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locked/>
    <w:rsid w:val="00A84D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locked/>
    <w:rsid w:val="00A84D4E"/>
    <w:rPr>
      <w:sz w:val="28"/>
      <w:szCs w:val="24"/>
      <w:lang w:val="ru-RU" w:eastAsia="ru-RU" w:bidi="ar-SA"/>
    </w:rPr>
  </w:style>
  <w:style w:type="paragraph" w:styleId="a7">
    <w:name w:val="Balloon Text"/>
    <w:basedOn w:val="a"/>
    <w:semiHidden/>
    <w:rsid w:val="00A66C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D51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836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20207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02079"/>
    <w:rPr>
      <w:sz w:val="24"/>
      <w:szCs w:val="24"/>
    </w:rPr>
  </w:style>
  <w:style w:type="paragraph" w:styleId="a8">
    <w:name w:val="List Paragraph"/>
    <w:basedOn w:val="a"/>
    <w:uiPriority w:val="34"/>
    <w:qFormat/>
    <w:rsid w:val="00F342A7"/>
    <w:pPr>
      <w:ind w:left="720"/>
      <w:contextualSpacing/>
    </w:pPr>
  </w:style>
  <w:style w:type="paragraph" w:customStyle="1" w:styleId="ConsPlusTitle">
    <w:name w:val="ConsPlusTitle"/>
    <w:uiPriority w:val="99"/>
    <w:rsid w:val="00C809D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3050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A32C-7C54-4C40-9F2E-9804C0DF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5134</TotalTime>
  <Pages>10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 деятельности отдела ОМС и ВЭКМП за 2008 год</vt:lpstr>
    </vt:vector>
  </TitlesOfParts>
  <Company/>
  <LinksUpToDate>false</LinksUpToDate>
  <CharactersWithSpaces>21139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 деятельности отдела ОМС и ВЭКМП за 2008 год</dc:title>
  <dc:subject/>
  <dc:creator>master</dc:creator>
  <cp:keywords/>
  <dc:description/>
  <cp:lastModifiedBy>Пользователь</cp:lastModifiedBy>
  <cp:revision>239</cp:revision>
  <cp:lastPrinted>2024-01-19T06:32:00Z</cp:lastPrinted>
  <dcterms:created xsi:type="dcterms:W3CDTF">2014-02-24T06:17:00Z</dcterms:created>
  <dcterms:modified xsi:type="dcterms:W3CDTF">2024-02-13T08:55:00Z</dcterms:modified>
</cp:coreProperties>
</file>