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5F" w:rsidRDefault="00635D5C" w:rsidP="0053435F">
      <w:pPr>
        <w:autoSpaceDE w:val="0"/>
        <w:autoSpaceDN w:val="0"/>
        <w:adjustRightInd w:val="0"/>
        <w:jc w:val="center"/>
        <w:rPr>
          <w:b/>
          <w:bCs/>
        </w:rPr>
      </w:pPr>
      <w:r w:rsidRPr="009E5034">
        <w:rPr>
          <w:b/>
        </w:rPr>
        <w:t xml:space="preserve">Деятельность </w:t>
      </w:r>
      <w:r w:rsidR="007D5355" w:rsidRPr="009E5034">
        <w:rPr>
          <w:b/>
        </w:rPr>
        <w:t>ТФОМС Р</w:t>
      </w:r>
      <w:r w:rsidR="0053435F">
        <w:rPr>
          <w:b/>
        </w:rPr>
        <w:t xml:space="preserve">еспублики </w:t>
      </w:r>
      <w:r w:rsidR="007D5355" w:rsidRPr="009E5034">
        <w:rPr>
          <w:b/>
        </w:rPr>
        <w:t>К</w:t>
      </w:r>
      <w:r w:rsidR="0053435F">
        <w:rPr>
          <w:b/>
        </w:rPr>
        <w:t xml:space="preserve">алмыкия </w:t>
      </w:r>
      <w:r w:rsidR="007D5355" w:rsidRPr="009E5034">
        <w:rPr>
          <w:b/>
        </w:rPr>
        <w:t xml:space="preserve"> и </w:t>
      </w:r>
      <w:r w:rsidR="0053435F">
        <w:rPr>
          <w:b/>
        </w:rPr>
        <w:t xml:space="preserve">КФ АО «СОГАЗ-Мед" </w:t>
      </w:r>
      <w:r w:rsidR="007D5355" w:rsidRPr="009E5034">
        <w:rPr>
          <w:b/>
        </w:rPr>
        <w:t xml:space="preserve"> </w:t>
      </w:r>
      <w:r w:rsidRPr="009E5034">
        <w:rPr>
          <w:b/>
        </w:rPr>
        <w:t>по к</w:t>
      </w:r>
      <w:r w:rsidR="00512167" w:rsidRPr="009E5034">
        <w:rPr>
          <w:b/>
        </w:rPr>
        <w:t>онтрол</w:t>
      </w:r>
      <w:r w:rsidRPr="009E5034">
        <w:rPr>
          <w:b/>
        </w:rPr>
        <w:t>ю</w:t>
      </w:r>
      <w:r w:rsidR="00512167" w:rsidRPr="009E5034">
        <w:rPr>
          <w:b/>
        </w:rPr>
        <w:t xml:space="preserve"> объемов, сроков, качества и условий пр</w:t>
      </w:r>
      <w:r w:rsidR="007D5355" w:rsidRPr="009E5034">
        <w:rPr>
          <w:b/>
        </w:rPr>
        <w:t>едоставления медицинской помощи</w:t>
      </w:r>
      <w:r w:rsidR="0053435F">
        <w:rPr>
          <w:b/>
          <w:bCs/>
        </w:rPr>
        <w:t xml:space="preserve"> по обязательному медицинскому страхованию, а также ее финансового   обеспечения, в 202</w:t>
      </w:r>
      <w:r w:rsidR="002678EB">
        <w:rPr>
          <w:b/>
          <w:bCs/>
        </w:rPr>
        <w:t>2</w:t>
      </w:r>
      <w:r w:rsidR="0053435F">
        <w:rPr>
          <w:b/>
          <w:bCs/>
        </w:rPr>
        <w:t xml:space="preserve"> году</w:t>
      </w:r>
    </w:p>
    <w:p w:rsidR="008134C0" w:rsidRPr="009E5034" w:rsidRDefault="008134C0" w:rsidP="000C336E">
      <w:pPr>
        <w:jc w:val="center"/>
        <w:rPr>
          <w:b/>
        </w:rPr>
      </w:pPr>
    </w:p>
    <w:p w:rsidR="00F342A7" w:rsidRPr="009E5034" w:rsidRDefault="00F13D74" w:rsidP="00A367A3">
      <w:pPr>
        <w:autoSpaceDE w:val="0"/>
        <w:autoSpaceDN w:val="0"/>
        <w:adjustRightInd w:val="0"/>
        <w:ind w:firstLine="708"/>
        <w:jc w:val="both"/>
      </w:pPr>
      <w:r w:rsidRPr="0053435F">
        <w:t xml:space="preserve">Контроль объемов, сроков, качества и условий предоставления медицинской помощи по </w:t>
      </w:r>
      <w:r w:rsidR="0053435F" w:rsidRPr="0053435F">
        <w:rPr>
          <w:bCs/>
        </w:rPr>
        <w:t xml:space="preserve">  обязательному медицинскому страхованию, а также ее финансового обеспечения,  </w:t>
      </w:r>
      <w:r w:rsidRPr="0053435F">
        <w:t>включа</w:t>
      </w:r>
      <w:r w:rsidR="0053435F">
        <w:t xml:space="preserve">ет в себя </w:t>
      </w:r>
      <w:r w:rsidRPr="0053435F">
        <w:t xml:space="preserve"> медико-экономический контроль</w:t>
      </w:r>
      <w:r w:rsidR="0053435F">
        <w:t xml:space="preserve"> реестров счетов</w:t>
      </w:r>
      <w:r w:rsidR="00E76500">
        <w:t xml:space="preserve"> (МЭК)</w:t>
      </w:r>
      <w:r w:rsidRPr="0053435F">
        <w:t xml:space="preserve">, медико-экономическую экспертизу </w:t>
      </w:r>
      <w:r w:rsidR="00E76500">
        <w:t xml:space="preserve">(МЭЭ) </w:t>
      </w:r>
      <w:r w:rsidRPr="0053435F">
        <w:t xml:space="preserve">и экспертизу качества </w:t>
      </w:r>
      <w:r w:rsidR="0053435F">
        <w:t xml:space="preserve">оказанной </w:t>
      </w:r>
      <w:r w:rsidRPr="0053435F">
        <w:t>медицинской помощи</w:t>
      </w:r>
      <w:r w:rsidR="00E76500">
        <w:t xml:space="preserve"> (ЭКМП)</w:t>
      </w:r>
      <w:r w:rsidR="0053435F">
        <w:t xml:space="preserve">, и </w:t>
      </w:r>
      <w:r w:rsidRPr="0053435F">
        <w:t xml:space="preserve"> является о</w:t>
      </w:r>
      <w:r w:rsidR="00F342A7" w:rsidRPr="0053435F">
        <w:t>дним из основных разделов защиты</w:t>
      </w:r>
      <w:r w:rsidR="00F342A7" w:rsidRPr="009E5034">
        <w:t xml:space="preserve"> прав застрахованных лиц в сфере обязательного медицинского страхования</w:t>
      </w:r>
      <w:r w:rsidRPr="009E5034">
        <w:t>.</w:t>
      </w:r>
    </w:p>
    <w:p w:rsidR="008600AC" w:rsidRPr="009E5034" w:rsidRDefault="008600AC" w:rsidP="00CF0528">
      <w:pPr>
        <w:ind w:firstLine="708"/>
        <w:jc w:val="both"/>
      </w:pPr>
      <w:r w:rsidRPr="009E5034">
        <w:t>В 20</w:t>
      </w:r>
      <w:r w:rsidR="00C3655F">
        <w:t>2</w:t>
      </w:r>
      <w:r w:rsidR="002678EB">
        <w:t>2</w:t>
      </w:r>
      <w:r w:rsidRPr="009E5034">
        <w:t xml:space="preserve"> году </w:t>
      </w:r>
      <w:r w:rsidR="00CF0528">
        <w:t xml:space="preserve">в реализации Территориальной программы ОМС участвовали ТФОМС Республики Калмыкия, </w:t>
      </w:r>
      <w:r w:rsidRPr="009E5034">
        <w:t>1 страховая медицинская организация</w:t>
      </w:r>
      <w:r w:rsidR="00CF0528">
        <w:t xml:space="preserve"> - </w:t>
      </w:r>
      <w:r w:rsidRPr="009E5034">
        <w:t xml:space="preserve"> КФ </w:t>
      </w:r>
      <w:r w:rsidR="00C3655F">
        <w:t>АО «Страховая компания «СОГАЗ_Мед»</w:t>
      </w:r>
      <w:r w:rsidRPr="009E5034">
        <w:t xml:space="preserve"> и </w:t>
      </w:r>
      <w:r w:rsidR="0053435F">
        <w:t xml:space="preserve">40 </w:t>
      </w:r>
      <w:r w:rsidRPr="009E5034">
        <w:t xml:space="preserve"> медицински</w:t>
      </w:r>
      <w:r w:rsidR="00270A6E" w:rsidRPr="009E5034">
        <w:t>х</w:t>
      </w:r>
      <w:r w:rsidRPr="009E5034">
        <w:t xml:space="preserve"> организаци</w:t>
      </w:r>
      <w:r w:rsidR="00270A6E" w:rsidRPr="009E5034">
        <w:t>й</w:t>
      </w:r>
      <w:r w:rsidR="00C3655F">
        <w:t>.</w:t>
      </w:r>
      <w:r w:rsidR="00CF0528">
        <w:t xml:space="preserve">  В организации контроля объемов, сроков, качества и условий предоставления МП и </w:t>
      </w:r>
      <w:r w:rsidRPr="009E5034">
        <w:t xml:space="preserve"> обеспечени</w:t>
      </w:r>
      <w:r w:rsidR="00CF0528">
        <w:t>и</w:t>
      </w:r>
      <w:r w:rsidRPr="009E5034">
        <w:t xml:space="preserve"> </w:t>
      </w:r>
      <w:r w:rsidR="00CF0528">
        <w:t xml:space="preserve">защиты </w:t>
      </w:r>
      <w:r w:rsidRPr="009E5034">
        <w:t xml:space="preserve">прав застрахованных лиц участвовало </w:t>
      </w:r>
      <w:r w:rsidR="00D07D47">
        <w:t xml:space="preserve">77 </w:t>
      </w:r>
      <w:r w:rsidR="00CF0528">
        <w:t xml:space="preserve"> специалист</w:t>
      </w:r>
      <w:r w:rsidR="00D07D47">
        <w:t>ов</w:t>
      </w:r>
      <w:r w:rsidR="00CF0528">
        <w:t>, в том числе 1</w:t>
      </w:r>
      <w:r w:rsidR="00D07D47">
        <w:t>0</w:t>
      </w:r>
      <w:r w:rsidR="00CF0528">
        <w:t xml:space="preserve"> или </w:t>
      </w:r>
      <w:r w:rsidR="00D07D47">
        <w:t>13,0</w:t>
      </w:r>
      <w:r w:rsidR="00CF0528">
        <w:t xml:space="preserve"> % штатных специалистов ТФОМС РК и СМО, и </w:t>
      </w:r>
      <w:r w:rsidR="00D07D47">
        <w:t>6</w:t>
      </w:r>
      <w:r w:rsidR="00CF0528">
        <w:t>7 или 7</w:t>
      </w:r>
      <w:r w:rsidR="00D07D47">
        <w:t>7,0</w:t>
      </w:r>
      <w:r w:rsidR="00CF0528">
        <w:t xml:space="preserve"> %  специалистов, привлеченных на договорной основе. Из </w:t>
      </w:r>
      <w:r w:rsidR="00D07D47">
        <w:t>77</w:t>
      </w:r>
      <w:r w:rsidR="00CF0528">
        <w:t xml:space="preserve"> специалистов, 2</w:t>
      </w:r>
      <w:r w:rsidR="00D07D47">
        <w:t>8</w:t>
      </w:r>
      <w:r w:rsidR="00CF0528">
        <w:t xml:space="preserve"> или </w:t>
      </w:r>
      <w:r w:rsidR="00D07D47">
        <w:t xml:space="preserve">36,4 </w:t>
      </w:r>
      <w:r w:rsidR="00CF0528">
        <w:t xml:space="preserve"> % составили  специалисты ТФОМС РК и </w:t>
      </w:r>
      <w:r w:rsidR="00D07D47">
        <w:t>49</w:t>
      </w:r>
      <w:r w:rsidR="00CF0528">
        <w:t xml:space="preserve"> или 6</w:t>
      </w:r>
      <w:r w:rsidR="00D07D47">
        <w:t>3,6</w:t>
      </w:r>
      <w:r w:rsidR="00CF0528">
        <w:t xml:space="preserve"> % </w:t>
      </w:r>
      <w:r w:rsidR="00270A6E" w:rsidRPr="009E5034">
        <w:t xml:space="preserve"> </w:t>
      </w:r>
      <w:r w:rsidR="00CF0528">
        <w:t xml:space="preserve">- </w:t>
      </w:r>
      <w:r w:rsidRPr="009E5034">
        <w:t>с</w:t>
      </w:r>
      <w:r w:rsidR="00CF0528">
        <w:t xml:space="preserve">пециалисты </w:t>
      </w:r>
      <w:r w:rsidRPr="009E5034">
        <w:t xml:space="preserve"> СМО.</w:t>
      </w:r>
      <w:r w:rsidR="00CF0528">
        <w:t xml:space="preserve"> </w:t>
      </w:r>
      <w:r w:rsidRPr="009E5034">
        <w:t>В организации и  проведении</w:t>
      </w:r>
      <w:r w:rsidR="00CF0528">
        <w:t xml:space="preserve"> МЭК реестров счетов участвовало</w:t>
      </w:r>
      <w:r w:rsidR="00E455A3">
        <w:t xml:space="preserve"> </w:t>
      </w:r>
      <w:r w:rsidR="00D07D47">
        <w:t>4</w:t>
      </w:r>
      <w:r w:rsidR="00E455A3">
        <w:t xml:space="preserve"> или 100 % специалистов ТФОМС РК;  </w:t>
      </w:r>
      <w:r w:rsidRPr="009E5034">
        <w:t xml:space="preserve"> в </w:t>
      </w:r>
      <w:r w:rsidR="00E455A3">
        <w:t xml:space="preserve">организации и </w:t>
      </w:r>
      <w:r w:rsidRPr="009E5034">
        <w:t xml:space="preserve">проведении МЭЭ </w:t>
      </w:r>
      <w:r w:rsidR="00E455A3">
        <w:t xml:space="preserve">участвовало </w:t>
      </w:r>
      <w:r w:rsidR="00D07D47">
        <w:t>6</w:t>
      </w:r>
      <w:r w:rsidR="009A4B93">
        <w:t xml:space="preserve">, или 7,8 </w:t>
      </w:r>
      <w:r w:rsidR="00E455A3">
        <w:t xml:space="preserve"> % от общего числа</w:t>
      </w:r>
      <w:r w:rsidR="009A4B93">
        <w:t xml:space="preserve"> специалистов – экспертов  (из них 1 (16,7 %) </w:t>
      </w:r>
      <w:r w:rsidR="00E455A3">
        <w:t xml:space="preserve"> специалист – эксперт ТФОМС РК </w:t>
      </w:r>
      <w:r w:rsidRPr="009E5034">
        <w:t>и</w:t>
      </w:r>
      <w:r w:rsidR="00E455A3">
        <w:t xml:space="preserve"> </w:t>
      </w:r>
      <w:r w:rsidR="009A4B93">
        <w:t xml:space="preserve">5 (83,3 %) </w:t>
      </w:r>
      <w:r w:rsidRPr="009E5034">
        <w:t xml:space="preserve"> </w:t>
      </w:r>
      <w:r w:rsidR="00E455A3">
        <w:t>специалистов – экспертов СМО</w:t>
      </w:r>
      <w:r w:rsidR="009A4B93">
        <w:t>)</w:t>
      </w:r>
      <w:r w:rsidR="00E455A3">
        <w:t>;</w:t>
      </w:r>
      <w:r w:rsidR="009A4B93">
        <w:t xml:space="preserve"> </w:t>
      </w:r>
      <w:r w:rsidR="00E455A3">
        <w:t xml:space="preserve"> для</w:t>
      </w:r>
      <w:r w:rsidR="00E455A3" w:rsidRPr="009E5034">
        <w:t xml:space="preserve"> </w:t>
      </w:r>
      <w:r w:rsidR="00E455A3">
        <w:t>организации и проведени</w:t>
      </w:r>
      <w:r w:rsidR="00E76500">
        <w:t>я</w:t>
      </w:r>
      <w:r w:rsidR="00E455A3">
        <w:t xml:space="preserve"> ЭКМП  привлечены</w:t>
      </w:r>
      <w:r w:rsidR="009A4B93">
        <w:t xml:space="preserve"> 67  экспертов КМП (из них </w:t>
      </w:r>
      <w:r w:rsidR="00E455A3">
        <w:t xml:space="preserve"> ТФОМС РК </w:t>
      </w:r>
      <w:r w:rsidRPr="009E5034">
        <w:t xml:space="preserve"> </w:t>
      </w:r>
      <w:r w:rsidR="00E455A3">
        <w:t xml:space="preserve"> </w:t>
      </w:r>
      <w:r w:rsidR="009A4B93">
        <w:t xml:space="preserve">23 (34,3 %) </w:t>
      </w:r>
      <w:r w:rsidR="00E455A3">
        <w:t xml:space="preserve">и </w:t>
      </w:r>
      <w:r w:rsidR="009A4B93">
        <w:t xml:space="preserve">44 (65,7 %) </w:t>
      </w:r>
      <w:r w:rsidRPr="009E5034">
        <w:t xml:space="preserve">  экспертов </w:t>
      </w:r>
      <w:r w:rsidR="00E455A3">
        <w:t xml:space="preserve">КМП привлечены СМО. </w:t>
      </w:r>
      <w:r w:rsidRPr="009E5034">
        <w:t xml:space="preserve">Из </w:t>
      </w:r>
      <w:r w:rsidR="009A4B93">
        <w:t xml:space="preserve">67 </w:t>
      </w:r>
      <w:r w:rsidR="00217342">
        <w:t xml:space="preserve"> экспертов КМП </w:t>
      </w:r>
      <w:r w:rsidR="009A4B93">
        <w:t>4</w:t>
      </w:r>
      <w:r w:rsidR="00217342">
        <w:t xml:space="preserve">0, или </w:t>
      </w:r>
      <w:r w:rsidR="009A4B93">
        <w:t xml:space="preserve">59,7 </w:t>
      </w:r>
      <w:r w:rsidR="00217342">
        <w:t xml:space="preserve"> % от общего числа,  составили </w:t>
      </w:r>
      <w:r w:rsidRPr="009E5034">
        <w:t>эксперт</w:t>
      </w:r>
      <w:r w:rsidR="00217342">
        <w:t xml:space="preserve">ы, </w:t>
      </w:r>
      <w:r w:rsidRPr="009E5034">
        <w:t xml:space="preserve"> включенны</w:t>
      </w:r>
      <w:r w:rsidR="00217342">
        <w:t>е</w:t>
      </w:r>
      <w:r w:rsidRPr="009E5034">
        <w:t xml:space="preserve"> в </w:t>
      </w:r>
      <w:r w:rsidR="00217342">
        <w:t xml:space="preserve">территориальные реестры экспертов КМП других субъектов РФ; имели высшую квалификационную категорию 27 экспертов, или </w:t>
      </w:r>
      <w:r w:rsidR="00AF756D">
        <w:t xml:space="preserve">40,3 </w:t>
      </w:r>
      <w:r w:rsidR="00217342">
        <w:t xml:space="preserve"> % от общего числа; имели ученую степень </w:t>
      </w:r>
      <w:r w:rsidR="00AF756D">
        <w:t>12</w:t>
      </w:r>
      <w:r w:rsidR="00217342">
        <w:t>, или 1</w:t>
      </w:r>
      <w:r w:rsidR="00AF756D">
        <w:t xml:space="preserve">7,9 </w:t>
      </w:r>
      <w:r w:rsidR="00217342">
        <w:t xml:space="preserve"> % от общего числа, экспертов КМП.</w:t>
      </w:r>
    </w:p>
    <w:p w:rsidR="00035FFB" w:rsidRPr="009E5034" w:rsidRDefault="00035FFB" w:rsidP="00C14A03">
      <w:pPr>
        <w:ind w:firstLine="709"/>
        <w:jc w:val="center"/>
        <w:outlineLvl w:val="1"/>
        <w:rPr>
          <w:b/>
        </w:rPr>
      </w:pPr>
    </w:p>
    <w:p w:rsidR="008600AC" w:rsidRPr="009E5034" w:rsidRDefault="008600AC" w:rsidP="008600AC">
      <w:pPr>
        <w:ind w:firstLine="709"/>
        <w:jc w:val="center"/>
        <w:outlineLvl w:val="1"/>
        <w:rPr>
          <w:b/>
        </w:rPr>
      </w:pPr>
      <w:r w:rsidRPr="009E5034">
        <w:rPr>
          <w:b/>
        </w:rPr>
        <w:t>Результаты медико-экономического контроля</w:t>
      </w:r>
      <w:r w:rsidR="005774C5">
        <w:rPr>
          <w:b/>
        </w:rPr>
        <w:t xml:space="preserve">  (МЭК) реестров счетов оказанной медицинской помощи</w:t>
      </w:r>
    </w:p>
    <w:p w:rsidR="008600AC" w:rsidRPr="009E5034" w:rsidRDefault="008600AC" w:rsidP="008600AC">
      <w:pPr>
        <w:ind w:firstLine="709"/>
        <w:jc w:val="center"/>
        <w:outlineLvl w:val="1"/>
        <w:rPr>
          <w:b/>
        </w:rPr>
      </w:pPr>
    </w:p>
    <w:p w:rsidR="008366B9" w:rsidRDefault="008600AC" w:rsidP="008600AC">
      <w:pPr>
        <w:pStyle w:val="20"/>
        <w:spacing w:line="240" w:lineRule="auto"/>
        <w:jc w:val="both"/>
      </w:pPr>
      <w:r w:rsidRPr="009E5034">
        <w:t xml:space="preserve">  </w:t>
      </w:r>
      <w:r w:rsidRPr="009E5034">
        <w:tab/>
        <w:t>В 20</w:t>
      </w:r>
      <w:r w:rsidR="00C3655F">
        <w:t>2</w:t>
      </w:r>
      <w:r w:rsidR="00A367A3">
        <w:t>2</w:t>
      </w:r>
      <w:r w:rsidR="00140458">
        <w:t xml:space="preserve"> </w:t>
      </w:r>
      <w:r w:rsidRPr="009E5034">
        <w:t xml:space="preserve">году </w:t>
      </w:r>
      <w:r w:rsidR="00140458">
        <w:t xml:space="preserve">медицинскими организациями предъявлено к оплате </w:t>
      </w:r>
      <w:r w:rsidRPr="009E5034">
        <w:t>1</w:t>
      </w:r>
      <w:r w:rsidR="005F5A8C">
        <w:t> 412 465</w:t>
      </w:r>
      <w:r w:rsidR="00140458">
        <w:t xml:space="preserve">  (индивидуальных) реестров </w:t>
      </w:r>
      <w:r w:rsidRPr="009E5034">
        <w:t xml:space="preserve"> счетов</w:t>
      </w:r>
      <w:r w:rsidR="00E76500">
        <w:t xml:space="preserve">, что на </w:t>
      </w:r>
      <w:r w:rsidR="001D17D8">
        <w:t>103 725</w:t>
      </w:r>
      <w:r w:rsidR="00E76500">
        <w:t xml:space="preserve"> счетов больше, чем в 202</w:t>
      </w:r>
      <w:r w:rsidR="005F5A8C">
        <w:t>1</w:t>
      </w:r>
      <w:r w:rsidR="00E76500">
        <w:t xml:space="preserve"> году (</w:t>
      </w:r>
      <w:r w:rsidR="005F5A8C" w:rsidRPr="009E5034">
        <w:t>1</w:t>
      </w:r>
      <w:r w:rsidR="005F5A8C">
        <w:t xml:space="preserve"> 308 740  </w:t>
      </w:r>
      <w:r w:rsidR="00E76500" w:rsidRPr="009E5034">
        <w:t>счетов</w:t>
      </w:r>
      <w:r w:rsidRPr="009E5034">
        <w:t xml:space="preserve">). </w:t>
      </w:r>
      <w:r w:rsidR="00E76500">
        <w:t xml:space="preserve"> Из них 1</w:t>
      </w:r>
      <w:r w:rsidR="005F5A8C">
        <w:t xml:space="preserve"> 363 619 </w:t>
      </w:r>
      <w:r w:rsidR="00E76500">
        <w:t xml:space="preserve"> счетов, или 97,1 % от общего числа, составили реестры счетов оказанной помощи застрахованным лицам (ЗЛ) на территории страхования, и </w:t>
      </w:r>
      <w:r w:rsidR="005F5A8C">
        <w:t>48 846</w:t>
      </w:r>
      <w:r w:rsidR="00E76500">
        <w:t>, или 2,9 % от общего числа, составили реестры счетов оказанной помощи   иногородним гражданам.  В разрезе условий оказания МП</w:t>
      </w:r>
      <w:r w:rsidR="008366B9">
        <w:t xml:space="preserve">   </w:t>
      </w:r>
      <w:r w:rsidR="00E76500">
        <w:t xml:space="preserve"> 1</w:t>
      </w:r>
      <w:r w:rsidR="001D17D8">
        <w:t> 271 598</w:t>
      </w:r>
      <w:r w:rsidR="00E76500">
        <w:t xml:space="preserve"> , или 90,</w:t>
      </w:r>
      <w:r w:rsidR="001D17D8">
        <w:t>0</w:t>
      </w:r>
      <w:r w:rsidR="00E76500">
        <w:t xml:space="preserve"> % от общего числа, </w:t>
      </w:r>
      <w:r w:rsidR="008366B9">
        <w:t xml:space="preserve"> составили реестры счетов амбулаторной помощи; </w:t>
      </w:r>
      <w:r w:rsidR="001D17D8">
        <w:t>83 785</w:t>
      </w:r>
      <w:r w:rsidR="008366B9">
        <w:t>, или 5,</w:t>
      </w:r>
      <w:r w:rsidR="001D17D8">
        <w:t>9</w:t>
      </w:r>
      <w:r w:rsidR="008366B9">
        <w:t xml:space="preserve"> % от общего числа, -  реестры скорой МП;  4</w:t>
      </w:r>
      <w:r w:rsidR="00C02EFC">
        <w:t xml:space="preserve">2 164 </w:t>
      </w:r>
      <w:r w:rsidR="008366B9">
        <w:t>, или 3,</w:t>
      </w:r>
      <w:r w:rsidR="00C02EFC">
        <w:t>0</w:t>
      </w:r>
      <w:r w:rsidR="008366B9">
        <w:t xml:space="preserve"> % от общего числа, -  реестры  стационарной помощи; 1</w:t>
      </w:r>
      <w:r w:rsidR="00C02EFC">
        <w:t>4 918</w:t>
      </w:r>
      <w:r w:rsidR="008366B9">
        <w:t>, или 0,</w:t>
      </w:r>
      <w:r w:rsidR="00C02EFC">
        <w:t>3</w:t>
      </w:r>
      <w:r w:rsidR="008366B9">
        <w:t xml:space="preserve"> % от общего числа, - реестры </w:t>
      </w:r>
      <w:r w:rsidR="00C02EFC">
        <w:t>стационаро</w:t>
      </w:r>
      <w:r w:rsidR="008366B9">
        <w:t xml:space="preserve">замещающей помощи. </w:t>
      </w:r>
    </w:p>
    <w:p w:rsidR="005774C5" w:rsidRDefault="005774C5" w:rsidP="005774C5">
      <w:pPr>
        <w:pStyle w:val="20"/>
        <w:spacing w:line="240" w:lineRule="auto"/>
        <w:jc w:val="center"/>
      </w:pPr>
      <w:r>
        <w:t>Сведения о результатах МЭК реестров счетов по итогам 2022 года</w:t>
      </w:r>
    </w:p>
    <w:p w:rsidR="005774C5" w:rsidRDefault="005774C5" w:rsidP="005774C5">
      <w:pPr>
        <w:pStyle w:val="20"/>
        <w:spacing w:line="240" w:lineRule="auto"/>
        <w:jc w:val="right"/>
      </w:pPr>
      <w:r>
        <w:t xml:space="preserve">Таблица № </w:t>
      </w:r>
      <w:r w:rsidR="00540574">
        <w:t>1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6"/>
        <w:gridCol w:w="1596"/>
      </w:tblGrid>
      <w:tr w:rsidR="005774C5" w:rsidTr="00540574">
        <w:tc>
          <w:tcPr>
            <w:tcW w:w="1595" w:type="dxa"/>
            <w:vMerge w:val="restart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</w:p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Показатель (абс. значения)</w:t>
            </w:r>
          </w:p>
        </w:tc>
        <w:tc>
          <w:tcPr>
            <w:tcW w:w="6381" w:type="dxa"/>
            <w:gridSpan w:val="4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Условия оказания МП</w:t>
            </w:r>
          </w:p>
        </w:tc>
        <w:tc>
          <w:tcPr>
            <w:tcW w:w="1596" w:type="dxa"/>
            <w:vMerge w:val="restart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</w:p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Всего:</w:t>
            </w:r>
          </w:p>
        </w:tc>
      </w:tr>
      <w:tr w:rsidR="005774C5" w:rsidTr="00540574">
        <w:tc>
          <w:tcPr>
            <w:tcW w:w="1595" w:type="dxa"/>
            <w:vMerge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</w:p>
        </w:tc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скорая МП</w:t>
            </w:r>
          </w:p>
        </w:tc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поликлиника</w:t>
            </w:r>
          </w:p>
        </w:tc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стационар</w:t>
            </w:r>
          </w:p>
        </w:tc>
        <w:tc>
          <w:tcPr>
            <w:tcW w:w="1596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дневной стационар</w:t>
            </w:r>
          </w:p>
        </w:tc>
        <w:tc>
          <w:tcPr>
            <w:tcW w:w="1596" w:type="dxa"/>
            <w:vMerge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</w:p>
        </w:tc>
      </w:tr>
      <w:tr w:rsidR="005774C5" w:rsidTr="00540574"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Предъявлено к оплате счетов</w:t>
            </w:r>
          </w:p>
        </w:tc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83 785</w:t>
            </w:r>
          </w:p>
        </w:tc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1 271 598</w:t>
            </w:r>
          </w:p>
        </w:tc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42 164</w:t>
            </w:r>
          </w:p>
        </w:tc>
        <w:tc>
          <w:tcPr>
            <w:tcW w:w="1596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14 918</w:t>
            </w:r>
          </w:p>
        </w:tc>
        <w:tc>
          <w:tcPr>
            <w:tcW w:w="1596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 w:rsidRPr="009E5034">
              <w:t>1</w:t>
            </w:r>
            <w:r>
              <w:t> 412 465</w:t>
            </w:r>
          </w:p>
        </w:tc>
      </w:tr>
      <w:tr w:rsidR="005774C5" w:rsidTr="00540574">
        <w:trPr>
          <w:trHeight w:val="1128"/>
        </w:trPr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lastRenderedPageBreak/>
              <w:t>Выявлено счетов, содержащих нарушения</w:t>
            </w:r>
          </w:p>
        </w:tc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2986</w:t>
            </w:r>
          </w:p>
        </w:tc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30030</w:t>
            </w:r>
          </w:p>
        </w:tc>
        <w:tc>
          <w:tcPr>
            <w:tcW w:w="1595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6831</w:t>
            </w:r>
          </w:p>
        </w:tc>
        <w:tc>
          <w:tcPr>
            <w:tcW w:w="1596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1685</w:t>
            </w:r>
          </w:p>
        </w:tc>
        <w:tc>
          <w:tcPr>
            <w:tcW w:w="1596" w:type="dxa"/>
            <w:vAlign w:val="center"/>
          </w:tcPr>
          <w:p w:rsidR="005774C5" w:rsidRDefault="005774C5" w:rsidP="00540574">
            <w:pPr>
              <w:pStyle w:val="20"/>
              <w:spacing w:line="240" w:lineRule="auto"/>
              <w:jc w:val="center"/>
            </w:pPr>
            <w:r>
              <w:t>41 532</w:t>
            </w:r>
          </w:p>
        </w:tc>
      </w:tr>
      <w:tr w:rsidR="005774C5" w:rsidTr="00540574">
        <w:tc>
          <w:tcPr>
            <w:tcW w:w="1595" w:type="dxa"/>
            <w:vAlign w:val="center"/>
          </w:tcPr>
          <w:p w:rsidR="005774C5" w:rsidRDefault="003772BE" w:rsidP="003772BE">
            <w:pPr>
              <w:pStyle w:val="20"/>
              <w:spacing w:line="240" w:lineRule="auto"/>
              <w:jc w:val="center"/>
            </w:pPr>
            <w:r>
              <w:t xml:space="preserve">Доля </w:t>
            </w:r>
            <w:r w:rsidR="005B76A6">
              <w:t xml:space="preserve"> случаев, содержащих нарушения</w:t>
            </w:r>
          </w:p>
        </w:tc>
        <w:tc>
          <w:tcPr>
            <w:tcW w:w="1595" w:type="dxa"/>
            <w:vAlign w:val="center"/>
          </w:tcPr>
          <w:p w:rsidR="005774C5" w:rsidRDefault="00540574" w:rsidP="00540574">
            <w:pPr>
              <w:pStyle w:val="20"/>
              <w:spacing w:line="240" w:lineRule="auto"/>
              <w:jc w:val="center"/>
            </w:pPr>
            <w:r>
              <w:t>3,6</w:t>
            </w:r>
          </w:p>
        </w:tc>
        <w:tc>
          <w:tcPr>
            <w:tcW w:w="1595" w:type="dxa"/>
            <w:vAlign w:val="center"/>
          </w:tcPr>
          <w:p w:rsidR="005774C5" w:rsidRDefault="00540574" w:rsidP="00540574">
            <w:pPr>
              <w:pStyle w:val="20"/>
              <w:spacing w:line="240" w:lineRule="auto"/>
              <w:jc w:val="center"/>
            </w:pPr>
            <w:r>
              <w:t>2,4</w:t>
            </w:r>
          </w:p>
        </w:tc>
        <w:tc>
          <w:tcPr>
            <w:tcW w:w="1595" w:type="dxa"/>
            <w:vAlign w:val="center"/>
          </w:tcPr>
          <w:p w:rsidR="005774C5" w:rsidRDefault="00540574" w:rsidP="00540574">
            <w:pPr>
              <w:pStyle w:val="20"/>
              <w:spacing w:line="240" w:lineRule="auto"/>
              <w:jc w:val="center"/>
            </w:pPr>
            <w:r>
              <w:t>16,2</w:t>
            </w:r>
          </w:p>
        </w:tc>
        <w:tc>
          <w:tcPr>
            <w:tcW w:w="1596" w:type="dxa"/>
            <w:vAlign w:val="center"/>
          </w:tcPr>
          <w:p w:rsidR="005774C5" w:rsidRDefault="00540574" w:rsidP="00540574">
            <w:pPr>
              <w:pStyle w:val="20"/>
              <w:spacing w:line="240" w:lineRule="auto"/>
              <w:jc w:val="center"/>
            </w:pPr>
            <w:r>
              <w:t>11,3</w:t>
            </w:r>
          </w:p>
        </w:tc>
        <w:tc>
          <w:tcPr>
            <w:tcW w:w="1596" w:type="dxa"/>
            <w:vAlign w:val="center"/>
          </w:tcPr>
          <w:p w:rsidR="005774C5" w:rsidRDefault="00540574" w:rsidP="00540574">
            <w:pPr>
              <w:pStyle w:val="20"/>
              <w:spacing w:line="240" w:lineRule="auto"/>
              <w:jc w:val="center"/>
            </w:pPr>
            <w:r>
              <w:t>2,9</w:t>
            </w:r>
          </w:p>
        </w:tc>
      </w:tr>
    </w:tbl>
    <w:p w:rsidR="005774C5" w:rsidRDefault="005774C5" w:rsidP="008600AC">
      <w:pPr>
        <w:pStyle w:val="20"/>
        <w:spacing w:line="240" w:lineRule="auto"/>
        <w:jc w:val="both"/>
      </w:pPr>
    </w:p>
    <w:p w:rsidR="00FA1B96" w:rsidRDefault="008366B9" w:rsidP="00C02EFC">
      <w:pPr>
        <w:pStyle w:val="20"/>
        <w:spacing w:line="240" w:lineRule="auto"/>
        <w:ind w:firstLine="708"/>
        <w:jc w:val="both"/>
      </w:pPr>
      <w:r>
        <w:t xml:space="preserve">По результатам МЭК отклонено от оплаты </w:t>
      </w:r>
      <w:r w:rsidR="00440F14">
        <w:t xml:space="preserve"> 41 532   </w:t>
      </w:r>
      <w:r>
        <w:t xml:space="preserve">реестров счетов, что составило </w:t>
      </w:r>
      <w:r w:rsidR="00440F14">
        <w:t xml:space="preserve">2,9 </w:t>
      </w:r>
      <w:r>
        <w:t xml:space="preserve"> % от числа предъявленных к оплате реестров счетов</w:t>
      </w:r>
      <w:r w:rsidR="0075743E">
        <w:t>.</w:t>
      </w:r>
      <w:r w:rsidR="00540574">
        <w:t xml:space="preserve"> Реестры счетов стационарной помощи содержали нарушения </w:t>
      </w:r>
      <w:r w:rsidR="00FA1B96">
        <w:t xml:space="preserve"> в </w:t>
      </w:r>
      <w:r w:rsidR="00540574">
        <w:t xml:space="preserve">16,2 </w:t>
      </w:r>
      <w:r w:rsidR="00FA1B96">
        <w:t xml:space="preserve"> %</w:t>
      </w:r>
      <w:r w:rsidR="00540574">
        <w:t>, стационарозамещающей помощи</w:t>
      </w:r>
      <w:r w:rsidR="00FA1B96">
        <w:t xml:space="preserve"> </w:t>
      </w:r>
      <w:r w:rsidR="001D107F">
        <w:t xml:space="preserve">в </w:t>
      </w:r>
      <w:r w:rsidR="00540574">
        <w:t xml:space="preserve">11,3 </w:t>
      </w:r>
      <w:r w:rsidR="001D107F">
        <w:t xml:space="preserve"> %</w:t>
      </w:r>
      <w:r w:rsidR="00540574">
        <w:t xml:space="preserve">, </w:t>
      </w:r>
      <w:r w:rsidR="001D107F">
        <w:t xml:space="preserve"> </w:t>
      </w:r>
      <w:r w:rsidR="00540574">
        <w:t xml:space="preserve">скорой медицинской помощи в 3,6 % , </w:t>
      </w:r>
      <w:r w:rsidR="001D107F">
        <w:t xml:space="preserve"> </w:t>
      </w:r>
      <w:r w:rsidR="00540574">
        <w:t xml:space="preserve">амбулаторной помощи  в 2,4  </w:t>
      </w:r>
      <w:r w:rsidR="001D107F">
        <w:t>%</w:t>
      </w:r>
      <w:r w:rsidR="00540574">
        <w:t xml:space="preserve">. </w:t>
      </w:r>
      <w:r w:rsidR="001D107F">
        <w:t xml:space="preserve"> </w:t>
      </w:r>
    </w:p>
    <w:p w:rsidR="00302EFD" w:rsidRDefault="008600AC" w:rsidP="00302EFD">
      <w:pPr>
        <w:pStyle w:val="20"/>
        <w:spacing w:line="240" w:lineRule="auto"/>
        <w:jc w:val="center"/>
      </w:pPr>
      <w:r w:rsidRPr="009E5034">
        <w:t>Структура нарушений, выявленных</w:t>
      </w:r>
      <w:r w:rsidR="002A4A46">
        <w:t xml:space="preserve"> по результатам </w:t>
      </w:r>
      <w:r w:rsidRPr="009E5034">
        <w:t xml:space="preserve"> МЭК </w:t>
      </w:r>
      <w:r w:rsidR="002A4A46">
        <w:t xml:space="preserve">реестров счетов </w:t>
      </w:r>
      <w:r w:rsidRPr="009E5034">
        <w:t>в 20</w:t>
      </w:r>
      <w:r w:rsidR="00C3655F">
        <w:t>2</w:t>
      </w:r>
      <w:r w:rsidR="00540574">
        <w:t>2</w:t>
      </w:r>
      <w:r w:rsidR="00302EFD">
        <w:t xml:space="preserve"> году</w:t>
      </w:r>
    </w:p>
    <w:p w:rsidR="008600AC" w:rsidRPr="009E5034" w:rsidRDefault="008600AC" w:rsidP="00302EFD">
      <w:pPr>
        <w:pStyle w:val="20"/>
        <w:spacing w:line="240" w:lineRule="auto"/>
        <w:jc w:val="right"/>
      </w:pPr>
      <w:r w:rsidRPr="009E5034">
        <w:t xml:space="preserve">Таблица № </w:t>
      </w:r>
      <w:r w:rsidR="00540574">
        <w:t>2</w:t>
      </w:r>
    </w:p>
    <w:tbl>
      <w:tblPr>
        <w:tblStyle w:val="a3"/>
        <w:tblW w:w="0" w:type="auto"/>
        <w:tblLayout w:type="fixed"/>
        <w:tblLook w:val="04A0"/>
      </w:tblPr>
      <w:tblGrid>
        <w:gridCol w:w="3828"/>
        <w:gridCol w:w="1383"/>
        <w:gridCol w:w="1418"/>
        <w:gridCol w:w="1276"/>
        <w:gridCol w:w="1667"/>
      </w:tblGrid>
      <w:tr w:rsidR="00E62027" w:rsidRPr="009E5034" w:rsidTr="002A4A46">
        <w:tc>
          <w:tcPr>
            <w:tcW w:w="3828" w:type="dxa"/>
            <w:vMerge w:val="restart"/>
          </w:tcPr>
          <w:p w:rsidR="00E62027" w:rsidRDefault="00E62027" w:rsidP="00302EFD">
            <w:pPr>
              <w:pStyle w:val="20"/>
              <w:jc w:val="both"/>
            </w:pPr>
          </w:p>
          <w:p w:rsidR="00E62027" w:rsidRPr="009E5034" w:rsidRDefault="00331536" w:rsidP="00302EFD">
            <w:pPr>
              <w:pStyle w:val="20"/>
              <w:jc w:val="both"/>
            </w:pPr>
            <w:r>
              <w:t>Дефекты оказания МП</w:t>
            </w:r>
          </w:p>
        </w:tc>
        <w:tc>
          <w:tcPr>
            <w:tcW w:w="5744" w:type="dxa"/>
            <w:gridSpan w:val="4"/>
          </w:tcPr>
          <w:p w:rsidR="00E62027" w:rsidRPr="009E5034" w:rsidRDefault="00E62027" w:rsidP="00302EFD">
            <w:pPr>
              <w:pStyle w:val="20"/>
              <w:spacing w:line="240" w:lineRule="auto"/>
              <w:jc w:val="center"/>
            </w:pPr>
            <w:r>
              <w:t>Число выявленных нарушений</w:t>
            </w:r>
          </w:p>
        </w:tc>
      </w:tr>
      <w:tr w:rsidR="00E62027" w:rsidRPr="009E5034" w:rsidTr="002A4A46">
        <w:tc>
          <w:tcPr>
            <w:tcW w:w="3828" w:type="dxa"/>
            <w:vMerge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</w:p>
        </w:tc>
        <w:tc>
          <w:tcPr>
            <w:tcW w:w="1383" w:type="dxa"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  <w:r>
              <w:t>2022 год (абс. знач.)</w:t>
            </w:r>
          </w:p>
        </w:tc>
        <w:tc>
          <w:tcPr>
            <w:tcW w:w="1418" w:type="dxa"/>
          </w:tcPr>
          <w:p w:rsidR="00E62027" w:rsidRPr="009E5034" w:rsidRDefault="00E62027" w:rsidP="00E62027">
            <w:pPr>
              <w:pStyle w:val="20"/>
              <w:spacing w:line="240" w:lineRule="auto"/>
              <w:jc w:val="both"/>
            </w:pPr>
            <w:r>
              <w:t>2021 год (абс.знач.)</w:t>
            </w:r>
          </w:p>
        </w:tc>
        <w:tc>
          <w:tcPr>
            <w:tcW w:w="1276" w:type="dxa"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  <w:r>
              <w:t xml:space="preserve">Динамика </w:t>
            </w:r>
          </w:p>
        </w:tc>
        <w:tc>
          <w:tcPr>
            <w:tcW w:w="1667" w:type="dxa"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  <w:r w:rsidRPr="009E5034">
              <w:t>Удельный вес</w:t>
            </w:r>
            <w:r w:rsidR="002A4A46">
              <w:t xml:space="preserve"> (2022г.)</w:t>
            </w:r>
            <w:r w:rsidRPr="009E5034">
              <w:t>, %</w:t>
            </w:r>
          </w:p>
        </w:tc>
      </w:tr>
      <w:tr w:rsidR="00E62027" w:rsidRPr="009E5034" w:rsidTr="002A4A46">
        <w:tc>
          <w:tcPr>
            <w:tcW w:w="3828" w:type="dxa"/>
          </w:tcPr>
          <w:p w:rsidR="00E62027" w:rsidRPr="009E5034" w:rsidRDefault="00E62027" w:rsidP="002B5D36">
            <w:pPr>
              <w:pStyle w:val="20"/>
              <w:spacing w:line="240" w:lineRule="auto"/>
              <w:jc w:val="both"/>
            </w:pPr>
            <w:r w:rsidRPr="009E5034">
              <w:t>Выявлено нарушений в оформлении и предъявлении на оплату счетов и реестров счетов</w:t>
            </w:r>
          </w:p>
        </w:tc>
        <w:tc>
          <w:tcPr>
            <w:tcW w:w="1383" w:type="dxa"/>
          </w:tcPr>
          <w:p w:rsidR="00E62027" w:rsidRDefault="00E94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11297</w:t>
            </w:r>
          </w:p>
        </w:tc>
        <w:tc>
          <w:tcPr>
            <w:tcW w:w="1418" w:type="dxa"/>
          </w:tcPr>
          <w:p w:rsidR="00E62027" w:rsidRDefault="00E6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2205</w:t>
            </w:r>
          </w:p>
        </w:tc>
        <w:tc>
          <w:tcPr>
            <w:tcW w:w="1276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9092</w:t>
            </w:r>
          </w:p>
        </w:tc>
        <w:tc>
          <w:tcPr>
            <w:tcW w:w="1667" w:type="dxa"/>
          </w:tcPr>
          <w:p w:rsidR="00E62027" w:rsidRPr="005C049F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E62027" w:rsidRPr="009E5034" w:rsidTr="002A4A46">
        <w:tc>
          <w:tcPr>
            <w:tcW w:w="3828" w:type="dxa"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  <w:r w:rsidRPr="009E5034">
              <w:t>связанные с включением в реестр  мед. помощи, не входящей в территориальную программу ОМС</w:t>
            </w:r>
          </w:p>
        </w:tc>
        <w:tc>
          <w:tcPr>
            <w:tcW w:w="1383" w:type="dxa"/>
          </w:tcPr>
          <w:p w:rsidR="00E62027" w:rsidRDefault="00E94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418" w:type="dxa"/>
          </w:tcPr>
          <w:p w:rsidR="00E62027" w:rsidRDefault="00E6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9382</w:t>
            </w:r>
          </w:p>
        </w:tc>
        <w:tc>
          <w:tcPr>
            <w:tcW w:w="1276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-9165</w:t>
            </w:r>
          </w:p>
        </w:tc>
        <w:tc>
          <w:tcPr>
            <w:tcW w:w="1667" w:type="dxa"/>
          </w:tcPr>
          <w:p w:rsidR="00E62027" w:rsidRPr="005C049F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62027" w:rsidRPr="009E5034" w:rsidTr="002A4A46">
        <w:tc>
          <w:tcPr>
            <w:tcW w:w="3828" w:type="dxa"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  <w:r w:rsidRPr="009E5034">
              <w:t>Нарушения, связанные с необоснованным применением тарифа на медицинскую помощь</w:t>
            </w:r>
          </w:p>
        </w:tc>
        <w:tc>
          <w:tcPr>
            <w:tcW w:w="1383" w:type="dxa"/>
          </w:tcPr>
          <w:p w:rsidR="00E62027" w:rsidRDefault="00E94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418" w:type="dxa"/>
          </w:tcPr>
          <w:p w:rsidR="00E62027" w:rsidRDefault="00E6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1276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-1341</w:t>
            </w:r>
          </w:p>
        </w:tc>
        <w:tc>
          <w:tcPr>
            <w:tcW w:w="1667" w:type="dxa"/>
          </w:tcPr>
          <w:p w:rsidR="00E62027" w:rsidRPr="005C049F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E62027" w:rsidRPr="009E5034" w:rsidTr="002A4A46">
        <w:tc>
          <w:tcPr>
            <w:tcW w:w="3828" w:type="dxa"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  <w:r w:rsidRPr="009E5034">
              <w:t>Нарушения, связанные с включением в реестр счетов нелицензированных видов медицинской деятельности</w:t>
            </w:r>
          </w:p>
        </w:tc>
        <w:tc>
          <w:tcPr>
            <w:tcW w:w="1383" w:type="dxa"/>
          </w:tcPr>
          <w:p w:rsidR="00E62027" w:rsidRDefault="00E94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1418" w:type="dxa"/>
          </w:tcPr>
          <w:p w:rsidR="00E62027" w:rsidRDefault="00E6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1667" w:type="dxa"/>
          </w:tcPr>
          <w:p w:rsidR="00E62027" w:rsidRPr="005C049F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62027" w:rsidRPr="009E5034" w:rsidTr="002A4A46">
        <w:tc>
          <w:tcPr>
            <w:tcW w:w="3828" w:type="dxa"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  <w:r w:rsidRPr="009E5034">
              <w:t>Нарушения, связанные с повторным или необоснованным включением в реестр счетов медицинской помощи</w:t>
            </w:r>
          </w:p>
        </w:tc>
        <w:tc>
          <w:tcPr>
            <w:tcW w:w="1383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6134</w:t>
            </w:r>
          </w:p>
        </w:tc>
        <w:tc>
          <w:tcPr>
            <w:tcW w:w="1418" w:type="dxa"/>
          </w:tcPr>
          <w:p w:rsidR="00E62027" w:rsidRDefault="00E6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276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5515</w:t>
            </w:r>
          </w:p>
        </w:tc>
        <w:tc>
          <w:tcPr>
            <w:tcW w:w="1667" w:type="dxa"/>
          </w:tcPr>
          <w:p w:rsidR="00E62027" w:rsidRPr="005C049F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E62027" w:rsidRPr="009E5034" w:rsidTr="002A4A46">
        <w:tc>
          <w:tcPr>
            <w:tcW w:w="3828" w:type="dxa"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  <w:r w:rsidRPr="009E5034">
              <w:t>прочие нарушения в соответствии с Перечнем</w:t>
            </w:r>
          </w:p>
        </w:tc>
        <w:tc>
          <w:tcPr>
            <w:tcW w:w="1383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20885</w:t>
            </w:r>
          </w:p>
        </w:tc>
        <w:tc>
          <w:tcPr>
            <w:tcW w:w="1418" w:type="dxa"/>
          </w:tcPr>
          <w:p w:rsidR="00E62027" w:rsidRDefault="00E6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58448</w:t>
            </w:r>
          </w:p>
        </w:tc>
        <w:tc>
          <w:tcPr>
            <w:tcW w:w="1276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-37563</w:t>
            </w:r>
          </w:p>
        </w:tc>
        <w:tc>
          <w:tcPr>
            <w:tcW w:w="1667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</w:tr>
      <w:tr w:rsidR="00E62027" w:rsidRPr="009E5034" w:rsidTr="002A4A46">
        <w:tc>
          <w:tcPr>
            <w:tcW w:w="3828" w:type="dxa"/>
          </w:tcPr>
          <w:p w:rsidR="00E62027" w:rsidRPr="009E5034" w:rsidRDefault="00E62027" w:rsidP="00270A6E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1383" w:type="dxa"/>
          </w:tcPr>
          <w:p w:rsidR="00E62027" w:rsidRDefault="00E94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41532</w:t>
            </w:r>
          </w:p>
        </w:tc>
        <w:tc>
          <w:tcPr>
            <w:tcW w:w="1418" w:type="dxa"/>
          </w:tcPr>
          <w:p w:rsidR="00E62027" w:rsidRDefault="00E6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71328</w:t>
            </w:r>
          </w:p>
        </w:tc>
        <w:tc>
          <w:tcPr>
            <w:tcW w:w="1276" w:type="dxa"/>
          </w:tcPr>
          <w:p w:rsidR="00E62027" w:rsidRDefault="002A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-29796</w:t>
            </w:r>
          </w:p>
        </w:tc>
        <w:tc>
          <w:tcPr>
            <w:tcW w:w="1667" w:type="dxa"/>
          </w:tcPr>
          <w:p w:rsidR="00E62027" w:rsidRDefault="00E6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8600AC" w:rsidRPr="009E5034" w:rsidRDefault="008600AC" w:rsidP="008600AC">
      <w:pPr>
        <w:jc w:val="both"/>
      </w:pPr>
    </w:p>
    <w:p w:rsidR="004757FC" w:rsidRDefault="002A4A46" w:rsidP="002A4A46">
      <w:pPr>
        <w:pStyle w:val="20"/>
        <w:spacing w:line="240" w:lineRule="auto"/>
        <w:ind w:firstLine="708"/>
        <w:jc w:val="both"/>
      </w:pPr>
      <w:r>
        <w:t xml:space="preserve">По сравнению с 2021 годом уменьшилось число отклоненных  от оплаты счетов на  29 796, и </w:t>
      </w:r>
      <w:r w:rsidR="00A77F2A">
        <w:t>изменилась структура выявленных нарушений.  По итогам 202</w:t>
      </w:r>
      <w:r w:rsidR="00AF2046">
        <w:t>2</w:t>
      </w:r>
      <w:r w:rsidR="00A77F2A">
        <w:t xml:space="preserve"> года </w:t>
      </w:r>
      <w:r w:rsidR="008B5495" w:rsidRPr="009E5034">
        <w:t xml:space="preserve">превалируют </w:t>
      </w:r>
      <w:r w:rsidR="00625375">
        <w:t xml:space="preserve">прочие </w:t>
      </w:r>
      <w:r w:rsidR="008B5495" w:rsidRPr="009E5034">
        <w:t>нарушения,</w:t>
      </w:r>
      <w:r w:rsidR="00625375">
        <w:t xml:space="preserve"> - </w:t>
      </w:r>
      <w:r w:rsidR="00AF2046">
        <w:t xml:space="preserve">50,3 </w:t>
      </w:r>
      <w:r w:rsidR="00625375">
        <w:t xml:space="preserve">%;  </w:t>
      </w:r>
      <w:r w:rsidR="008B5495" w:rsidRPr="009E5034">
        <w:t xml:space="preserve"> </w:t>
      </w:r>
      <w:r w:rsidR="00625375">
        <w:t>н</w:t>
      </w:r>
      <w:r w:rsidR="008B5495" w:rsidRPr="009E5034">
        <w:t xml:space="preserve">а втором месте нарушения, </w:t>
      </w:r>
      <w:r w:rsidR="005C049F">
        <w:t xml:space="preserve">связанные с </w:t>
      </w:r>
      <w:r w:rsidR="005C049F" w:rsidRPr="009E5034">
        <w:t xml:space="preserve"> </w:t>
      </w:r>
      <w:r w:rsidR="00BA7086" w:rsidRPr="009E5034">
        <w:t xml:space="preserve"> оформлени</w:t>
      </w:r>
      <w:r w:rsidR="002B5D36">
        <w:t xml:space="preserve">ем и предъявлением </w:t>
      </w:r>
      <w:r w:rsidR="005C049F">
        <w:t xml:space="preserve"> счетов и реестров счетов – </w:t>
      </w:r>
      <w:r w:rsidR="00AF2046">
        <w:t xml:space="preserve">27,2 </w:t>
      </w:r>
      <w:r w:rsidR="005C049F">
        <w:t>%</w:t>
      </w:r>
      <w:r w:rsidR="00AF2046">
        <w:t>; на третьем</w:t>
      </w:r>
      <w:r w:rsidR="00732E1A">
        <w:t xml:space="preserve"> месте нарушения, </w:t>
      </w:r>
      <w:r w:rsidR="00732E1A" w:rsidRPr="009E5034">
        <w:t>связанные с повторным или необоснованным включением в реестр счетов медицинской помощи</w:t>
      </w:r>
      <w:r w:rsidR="00732E1A">
        <w:t xml:space="preserve"> - 14,8 %</w:t>
      </w:r>
      <w:r w:rsidR="005C049F">
        <w:t>.</w:t>
      </w:r>
      <w:r w:rsidR="00BA7086" w:rsidRPr="009E5034">
        <w:t xml:space="preserve">  </w:t>
      </w:r>
      <w:r w:rsidR="00A77F2A">
        <w:t xml:space="preserve"> В 2020 году «лидировали» </w:t>
      </w:r>
      <w:r w:rsidR="00732E1A">
        <w:t xml:space="preserve">прочие </w:t>
      </w:r>
      <w:r w:rsidR="00732E1A" w:rsidRPr="009E5034">
        <w:t>нарушения</w:t>
      </w:r>
      <w:r w:rsidR="00732E1A">
        <w:t xml:space="preserve">  -</w:t>
      </w:r>
      <w:r w:rsidR="00AF2046">
        <w:t xml:space="preserve">81,9 %;  </w:t>
      </w:r>
      <w:r w:rsidR="00AF2046" w:rsidRPr="009E5034">
        <w:t xml:space="preserve"> </w:t>
      </w:r>
      <w:r w:rsidR="00AF2046">
        <w:lastRenderedPageBreak/>
        <w:t>н</w:t>
      </w:r>
      <w:r w:rsidR="00AF2046" w:rsidRPr="009E5034">
        <w:t>а втором месте нарушения, связанных  с включением в реестр  мед</w:t>
      </w:r>
      <w:r w:rsidR="00AF2046">
        <w:t xml:space="preserve">ицинской </w:t>
      </w:r>
      <w:r w:rsidR="00AF2046" w:rsidRPr="009E5034">
        <w:t xml:space="preserve"> помощи, не входящей в территориальную программу ОМС</w:t>
      </w:r>
      <w:r w:rsidR="00AF2046">
        <w:t xml:space="preserve">, - 13,2 %; на третьем месте нарушения, связанные с </w:t>
      </w:r>
      <w:r w:rsidR="00AF2046" w:rsidRPr="009E5034">
        <w:t xml:space="preserve">  оформлени</w:t>
      </w:r>
      <w:r w:rsidR="00AF2046">
        <w:t>ем и предъявлением  счетов и реестров счетов – 3,1 %.</w:t>
      </w:r>
      <w:r w:rsidR="00AF2046" w:rsidRPr="009E5034">
        <w:t xml:space="preserve"> </w:t>
      </w:r>
    </w:p>
    <w:p w:rsidR="002B5D36" w:rsidRDefault="002B5D36" w:rsidP="008600AC">
      <w:pPr>
        <w:ind w:left="67" w:firstLine="720"/>
        <w:jc w:val="center"/>
        <w:rPr>
          <w:b/>
        </w:rPr>
      </w:pPr>
    </w:p>
    <w:p w:rsidR="008600AC" w:rsidRPr="009E5034" w:rsidRDefault="008600AC" w:rsidP="008600AC">
      <w:pPr>
        <w:ind w:left="67" w:firstLine="720"/>
        <w:jc w:val="center"/>
        <w:rPr>
          <w:b/>
        </w:rPr>
      </w:pPr>
      <w:r w:rsidRPr="009E5034">
        <w:rPr>
          <w:b/>
        </w:rPr>
        <w:t>Результаты медико-экономической экспертизы</w:t>
      </w:r>
    </w:p>
    <w:p w:rsidR="008600AC" w:rsidRPr="009E5034" w:rsidRDefault="008600AC" w:rsidP="008600AC">
      <w:pPr>
        <w:ind w:left="67" w:firstLine="641"/>
        <w:jc w:val="both"/>
      </w:pPr>
    </w:p>
    <w:p w:rsidR="00F32E9C" w:rsidRDefault="004757FC" w:rsidP="008558D9">
      <w:pPr>
        <w:ind w:firstLine="67"/>
        <w:jc w:val="both"/>
      </w:pPr>
      <w:r>
        <w:t>По итогам 202</w:t>
      </w:r>
      <w:r w:rsidR="00316424">
        <w:t>2</w:t>
      </w:r>
      <w:r>
        <w:t xml:space="preserve"> года </w:t>
      </w:r>
      <w:r w:rsidR="008110C0">
        <w:t xml:space="preserve">ТФОМС РК и </w:t>
      </w:r>
      <w:r>
        <w:t xml:space="preserve">СМО проведено МЭЭ </w:t>
      </w:r>
      <w:r w:rsidR="005B5C82">
        <w:t xml:space="preserve"> 37 642 </w:t>
      </w:r>
      <w:r w:rsidR="00AF5139">
        <w:t xml:space="preserve"> </w:t>
      </w:r>
      <w:r w:rsidR="008600AC" w:rsidRPr="009E5034">
        <w:t xml:space="preserve"> страховых случаев, </w:t>
      </w:r>
      <w:r w:rsidR="00AF5139">
        <w:t xml:space="preserve">что на </w:t>
      </w:r>
      <w:r w:rsidR="005B5C82">
        <w:t xml:space="preserve">7 372 </w:t>
      </w:r>
      <w:r w:rsidR="00AF5139">
        <w:t xml:space="preserve"> экспертиз </w:t>
      </w:r>
      <w:r w:rsidR="005B5C82">
        <w:t>боль</w:t>
      </w:r>
      <w:r w:rsidR="00AF5139">
        <w:t>ше, чем в 202</w:t>
      </w:r>
      <w:r w:rsidR="005B5C82">
        <w:t>1</w:t>
      </w:r>
      <w:r w:rsidR="00AF5139">
        <w:t xml:space="preserve"> году (202</w:t>
      </w:r>
      <w:r w:rsidR="005B5C82">
        <w:t>1</w:t>
      </w:r>
      <w:r w:rsidR="00AF5139">
        <w:t>г. –</w:t>
      </w:r>
      <w:r w:rsidR="001D474B" w:rsidRPr="009E5034">
        <w:t xml:space="preserve"> </w:t>
      </w:r>
      <w:r w:rsidR="003D4331">
        <w:t>3</w:t>
      </w:r>
      <w:r w:rsidR="005B5C82">
        <w:t>0 270</w:t>
      </w:r>
      <w:r w:rsidR="00AF5139">
        <w:t xml:space="preserve"> МЭЭ)</w:t>
      </w:r>
      <w:r w:rsidR="009E059C" w:rsidRPr="009E5034">
        <w:t>.</w:t>
      </w:r>
      <w:r w:rsidR="00AF5139">
        <w:t xml:space="preserve"> </w:t>
      </w:r>
      <w:r w:rsidR="00095227">
        <w:t xml:space="preserve">  СМО проведено 37 144  или 98,7 % от общего числа экспертиз, ТФОМС РК 498 или 1,3 % от общего числа экспертиз. В</w:t>
      </w:r>
      <w:r w:rsidR="00AF5139">
        <w:t xml:space="preserve">неплановые  МЭЭ </w:t>
      </w:r>
      <w:r w:rsidR="00A21EEE">
        <w:t xml:space="preserve">составили </w:t>
      </w:r>
      <w:r w:rsidR="008558D9">
        <w:t xml:space="preserve"> 34 641 </w:t>
      </w:r>
      <w:r w:rsidR="00AF5139">
        <w:t xml:space="preserve"> (или </w:t>
      </w:r>
      <w:r w:rsidR="008558D9">
        <w:t>92</w:t>
      </w:r>
      <w:r w:rsidR="00AF5139">
        <w:t xml:space="preserve">,0 % от общего числа) страховых случаев, что на </w:t>
      </w:r>
      <w:r w:rsidR="008558D9">
        <w:t xml:space="preserve"> 15 259</w:t>
      </w:r>
      <w:r w:rsidR="00AF5139">
        <w:t xml:space="preserve"> </w:t>
      </w:r>
      <w:r w:rsidR="008558D9">
        <w:t xml:space="preserve">(или 78,7 </w:t>
      </w:r>
      <w:r w:rsidR="00A21EEE">
        <w:t xml:space="preserve"> %)  </w:t>
      </w:r>
      <w:r w:rsidR="00AF5139">
        <w:t xml:space="preserve">случаев </w:t>
      </w:r>
      <w:r w:rsidR="008558D9">
        <w:t>боль</w:t>
      </w:r>
      <w:r w:rsidR="00AF5139">
        <w:t>ше, чем в 202</w:t>
      </w:r>
      <w:r w:rsidR="008558D9">
        <w:t>1</w:t>
      </w:r>
      <w:r w:rsidR="00AF5139">
        <w:t xml:space="preserve"> году  (в 202</w:t>
      </w:r>
      <w:r w:rsidR="008558D9">
        <w:t>1</w:t>
      </w:r>
      <w:r w:rsidR="00AF5139">
        <w:t xml:space="preserve"> году </w:t>
      </w:r>
      <w:r w:rsidR="008558D9">
        <w:t>–</w:t>
      </w:r>
      <w:r w:rsidR="00AF5139">
        <w:t xml:space="preserve"> </w:t>
      </w:r>
      <w:r w:rsidR="008558D9">
        <w:t>19 382</w:t>
      </w:r>
      <w:r w:rsidR="009E059C" w:rsidRPr="009E5034">
        <w:t xml:space="preserve"> </w:t>
      </w:r>
      <w:r w:rsidR="00144311" w:rsidRPr="009E5034">
        <w:t xml:space="preserve">или </w:t>
      </w:r>
      <w:r w:rsidR="008558D9">
        <w:t xml:space="preserve">64,0 </w:t>
      </w:r>
      <w:r w:rsidR="00144311" w:rsidRPr="009E5034">
        <w:t>%</w:t>
      </w:r>
      <w:r w:rsidR="00AF5139">
        <w:t xml:space="preserve">).  </w:t>
      </w:r>
    </w:p>
    <w:p w:rsidR="00E27302" w:rsidRDefault="00F32E9C" w:rsidP="00A21EEE">
      <w:pPr>
        <w:jc w:val="both"/>
      </w:pPr>
      <w:r>
        <w:t>Поводами для проведения внеплановых тематических МЭЭ в 1</w:t>
      </w:r>
      <w:r w:rsidR="00CD0C21">
        <w:t>3 915</w:t>
      </w:r>
      <w:r>
        <w:t xml:space="preserve"> (или в </w:t>
      </w:r>
      <w:r w:rsidR="00CD0C21">
        <w:t>40,2</w:t>
      </w:r>
      <w:r>
        <w:t xml:space="preserve"> % от общего числа внеплановых МЭЭ) случаях послужила </w:t>
      </w:r>
      <w:r w:rsidRPr="00F32E9C">
        <w:t xml:space="preserve"> несвоевременн</w:t>
      </w:r>
      <w:r>
        <w:t xml:space="preserve">ая </w:t>
      </w:r>
      <w:r w:rsidRPr="00F32E9C">
        <w:t xml:space="preserve"> постановк</w:t>
      </w:r>
      <w:r>
        <w:t xml:space="preserve">а </w:t>
      </w:r>
      <w:r w:rsidRPr="00F32E9C">
        <w:t xml:space="preserve"> на диспансерное наблюдение застрахованных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</w:t>
      </w:r>
      <w:r>
        <w:t>; в 7</w:t>
      </w:r>
      <w:r w:rsidR="00CD0C21">
        <w:t>060</w:t>
      </w:r>
      <w:r>
        <w:t xml:space="preserve"> (или в </w:t>
      </w:r>
      <w:r w:rsidR="00CD0C21">
        <w:t xml:space="preserve">20,4 </w:t>
      </w:r>
      <w:r>
        <w:t xml:space="preserve">  % от общего числа внеплановых МЭЭ) случаях </w:t>
      </w:r>
      <w:r w:rsidR="00137AB6">
        <w:t xml:space="preserve">- </w:t>
      </w:r>
      <w:r w:rsidRPr="009E5034">
        <w:t>повторн</w:t>
      </w:r>
      <w:r>
        <w:t>о</w:t>
      </w:r>
      <w:r w:rsidRPr="009E5034">
        <w:t>е обращения по поводу одного и того же заболевания</w:t>
      </w:r>
      <w:r>
        <w:t xml:space="preserve">; </w:t>
      </w:r>
      <w:r w:rsidR="00137AB6">
        <w:t xml:space="preserve">в </w:t>
      </w:r>
      <w:r w:rsidR="0080267A">
        <w:t xml:space="preserve"> 1 171 </w:t>
      </w:r>
      <w:r w:rsidR="00137AB6">
        <w:t xml:space="preserve"> (или в </w:t>
      </w:r>
      <w:r w:rsidR="0080267A">
        <w:t>3,4</w:t>
      </w:r>
      <w:r w:rsidR="00137AB6">
        <w:t xml:space="preserve">  % от общего числа внеплановых МЭЭ) случаях - </w:t>
      </w:r>
      <w:r w:rsidRPr="00F32E9C">
        <w:t>оказание медицинской помощи по профилю "онкология" с применением противоопухолевой терапии</w:t>
      </w:r>
      <w:r w:rsidR="00137AB6">
        <w:t xml:space="preserve">; </w:t>
      </w:r>
      <w:r w:rsidR="00975B58">
        <w:t xml:space="preserve">в </w:t>
      </w:r>
      <w:r w:rsidR="0080267A">
        <w:t xml:space="preserve">47 </w:t>
      </w:r>
      <w:r w:rsidR="00975B58">
        <w:t xml:space="preserve"> (или 0,</w:t>
      </w:r>
      <w:r w:rsidR="0080267A">
        <w:t>1</w:t>
      </w:r>
      <w:r w:rsidR="00975B58">
        <w:t xml:space="preserve"> % от общего числа внеплановых МЭЭ) </w:t>
      </w:r>
      <w:r w:rsidR="00975B58" w:rsidRPr="009E5034">
        <w:t>получением жалобы от застрахованного лица или его представителя</w:t>
      </w:r>
      <w:r w:rsidR="00975B58">
        <w:t>.  В 202</w:t>
      </w:r>
      <w:r w:rsidR="00E27302">
        <w:t>1</w:t>
      </w:r>
      <w:r w:rsidR="00975B58">
        <w:t xml:space="preserve"> году основными </w:t>
      </w:r>
      <w:r w:rsidR="00975B58" w:rsidRPr="009E5034">
        <w:t>повод</w:t>
      </w:r>
      <w:r w:rsidR="00975B58">
        <w:t xml:space="preserve">ами </w:t>
      </w:r>
      <w:r w:rsidR="00975B58" w:rsidRPr="009E5034">
        <w:t xml:space="preserve"> для проведения </w:t>
      </w:r>
      <w:r w:rsidR="00975B58">
        <w:t xml:space="preserve">внеплановых </w:t>
      </w:r>
      <w:r w:rsidR="00E27302">
        <w:t xml:space="preserve"> экспертиз </w:t>
      </w:r>
      <w:r w:rsidR="00975B58">
        <w:t xml:space="preserve">были </w:t>
      </w:r>
      <w:r w:rsidR="00E27302">
        <w:t xml:space="preserve">в 10 131 (или в 52,3 % от общего числа внеплановых МЭЭ) случаях  </w:t>
      </w:r>
      <w:r w:rsidR="00E27302" w:rsidRPr="00F32E9C">
        <w:t xml:space="preserve"> несвоевременн</w:t>
      </w:r>
      <w:r w:rsidR="00E27302">
        <w:t xml:space="preserve">ая </w:t>
      </w:r>
      <w:r w:rsidR="00E27302" w:rsidRPr="00F32E9C">
        <w:t xml:space="preserve"> постановк</w:t>
      </w:r>
      <w:r w:rsidR="00E27302">
        <w:t xml:space="preserve">а </w:t>
      </w:r>
      <w:r w:rsidR="00E27302" w:rsidRPr="00F32E9C">
        <w:t xml:space="preserve"> на диспансерное наблюдение застрахованных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</w:t>
      </w:r>
      <w:r w:rsidR="00E27302">
        <w:t xml:space="preserve">; в 7465 (или в 38,5  % от общего числа внеплановых МЭЭ) случаях - </w:t>
      </w:r>
      <w:r w:rsidR="00E27302" w:rsidRPr="009E5034">
        <w:t>повторн</w:t>
      </w:r>
      <w:r w:rsidR="00E27302">
        <w:t>о</w:t>
      </w:r>
      <w:r w:rsidR="00E27302" w:rsidRPr="009E5034">
        <w:t>е обращения по поводу одного и того же заболевания</w:t>
      </w:r>
      <w:r w:rsidR="00E27302">
        <w:t xml:space="preserve">. </w:t>
      </w:r>
    </w:p>
    <w:p w:rsidR="00A21EEE" w:rsidRDefault="00A21EEE" w:rsidP="00A21EEE">
      <w:pPr>
        <w:jc w:val="both"/>
      </w:pPr>
      <w:r>
        <w:t xml:space="preserve">Проведены МЭЭ </w:t>
      </w:r>
      <w:r w:rsidR="00590BA2">
        <w:t xml:space="preserve">29 044 </w:t>
      </w:r>
      <w:r>
        <w:t xml:space="preserve"> (или 7</w:t>
      </w:r>
      <w:r w:rsidR="00590BA2">
        <w:t xml:space="preserve">7,2 </w:t>
      </w:r>
      <w:r>
        <w:t xml:space="preserve">% от общего числа МЭЭ)  случаев оказания амбулаторной помощи, </w:t>
      </w:r>
      <w:r w:rsidR="00590BA2">
        <w:t xml:space="preserve"> 5 020 </w:t>
      </w:r>
      <w:r>
        <w:t xml:space="preserve"> (или 1</w:t>
      </w:r>
      <w:r w:rsidR="00590BA2">
        <w:t xml:space="preserve">3,3 </w:t>
      </w:r>
      <w:r>
        <w:t xml:space="preserve"> % от общего числа) случаев стационарной помощи, </w:t>
      </w:r>
      <w:r w:rsidR="00590BA2">
        <w:t xml:space="preserve"> 2020 </w:t>
      </w:r>
      <w:r>
        <w:t xml:space="preserve"> (или  </w:t>
      </w:r>
      <w:r w:rsidR="00590BA2">
        <w:t xml:space="preserve">5,4 </w:t>
      </w:r>
      <w:r>
        <w:rPr>
          <w:rFonts w:ascii="Calibri" w:hAnsi="Calibri"/>
          <w:sz w:val="22"/>
          <w:szCs w:val="22"/>
        </w:rPr>
        <w:t xml:space="preserve">% от общего числа)  случаев скорой медицинской помощи, и 1 </w:t>
      </w:r>
      <w:r w:rsidR="00590BA2">
        <w:rPr>
          <w:rFonts w:ascii="Calibri" w:hAnsi="Calibri"/>
          <w:sz w:val="22"/>
          <w:szCs w:val="22"/>
        </w:rPr>
        <w:t>558</w:t>
      </w:r>
      <w:r>
        <w:rPr>
          <w:rFonts w:ascii="Calibri" w:hAnsi="Calibri"/>
          <w:sz w:val="22"/>
          <w:szCs w:val="22"/>
        </w:rPr>
        <w:t xml:space="preserve">  </w:t>
      </w:r>
      <w:r>
        <w:t>(или  4,</w:t>
      </w:r>
      <w:r w:rsidR="00590BA2">
        <w:t>1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% от общего числа) </w:t>
      </w:r>
      <w:r>
        <w:t>случаев стационарозамещающей  помощи.</w:t>
      </w:r>
    </w:p>
    <w:p w:rsidR="00905394" w:rsidRDefault="00905394" w:rsidP="00A21EEE">
      <w:pPr>
        <w:jc w:val="both"/>
      </w:pPr>
    </w:p>
    <w:p w:rsidR="00905394" w:rsidRDefault="00905394" w:rsidP="00905394">
      <w:pPr>
        <w:jc w:val="center"/>
      </w:pPr>
      <w:r>
        <w:t>Сведения о выявленных нарушениях по результатам МЭЭ в 202</w:t>
      </w:r>
      <w:r w:rsidR="00316424">
        <w:t>2</w:t>
      </w:r>
      <w:r>
        <w:t xml:space="preserve"> году</w:t>
      </w:r>
    </w:p>
    <w:p w:rsidR="005121EF" w:rsidRDefault="00316424" w:rsidP="00905394">
      <w:pPr>
        <w:jc w:val="right"/>
      </w:pPr>
      <w:r>
        <w:t>Таблица №3</w:t>
      </w:r>
    </w:p>
    <w:tbl>
      <w:tblPr>
        <w:tblStyle w:val="a3"/>
        <w:tblW w:w="0" w:type="auto"/>
        <w:tblInd w:w="68" w:type="dxa"/>
        <w:tblLook w:val="04A0"/>
      </w:tblPr>
      <w:tblGrid>
        <w:gridCol w:w="1497"/>
        <w:gridCol w:w="1329"/>
        <w:gridCol w:w="1553"/>
        <w:gridCol w:w="1781"/>
        <w:gridCol w:w="1672"/>
        <w:gridCol w:w="1672"/>
      </w:tblGrid>
      <w:tr w:rsidR="00316424" w:rsidTr="00590BA2">
        <w:tc>
          <w:tcPr>
            <w:tcW w:w="1497" w:type="dxa"/>
          </w:tcPr>
          <w:p w:rsidR="00316424" w:rsidRDefault="00316424" w:rsidP="00590BA2">
            <w:pPr>
              <w:jc w:val="both"/>
            </w:pPr>
            <w:r>
              <w:t>показатель</w:t>
            </w:r>
          </w:p>
        </w:tc>
        <w:tc>
          <w:tcPr>
            <w:tcW w:w="1329" w:type="dxa"/>
          </w:tcPr>
          <w:p w:rsidR="00316424" w:rsidRDefault="00316424" w:rsidP="00590BA2">
            <w:pPr>
              <w:jc w:val="both"/>
            </w:pPr>
            <w:r>
              <w:t>Всего:</w:t>
            </w:r>
          </w:p>
        </w:tc>
        <w:tc>
          <w:tcPr>
            <w:tcW w:w="1553" w:type="dxa"/>
          </w:tcPr>
          <w:p w:rsidR="00316424" w:rsidRDefault="00316424" w:rsidP="00590BA2">
            <w:pPr>
              <w:jc w:val="both"/>
            </w:pPr>
            <w:r>
              <w:t>Скорая МП</w:t>
            </w:r>
          </w:p>
        </w:tc>
        <w:tc>
          <w:tcPr>
            <w:tcW w:w="1781" w:type="dxa"/>
          </w:tcPr>
          <w:p w:rsidR="00316424" w:rsidRDefault="00316424" w:rsidP="00590BA2">
            <w:pPr>
              <w:jc w:val="both"/>
            </w:pPr>
            <w:r>
              <w:t>поликлиника</w:t>
            </w:r>
          </w:p>
        </w:tc>
        <w:tc>
          <w:tcPr>
            <w:tcW w:w="1672" w:type="dxa"/>
          </w:tcPr>
          <w:p w:rsidR="00316424" w:rsidRDefault="00316424" w:rsidP="00590BA2">
            <w:pPr>
              <w:jc w:val="both"/>
            </w:pPr>
            <w:r>
              <w:t>Дневной стационар</w:t>
            </w:r>
          </w:p>
        </w:tc>
        <w:tc>
          <w:tcPr>
            <w:tcW w:w="1672" w:type="dxa"/>
          </w:tcPr>
          <w:p w:rsidR="00316424" w:rsidRDefault="00316424" w:rsidP="00590BA2">
            <w:pPr>
              <w:jc w:val="both"/>
            </w:pPr>
            <w:r>
              <w:t>стационар</w:t>
            </w:r>
          </w:p>
        </w:tc>
      </w:tr>
      <w:tr w:rsidR="00316424" w:rsidTr="00590BA2">
        <w:tc>
          <w:tcPr>
            <w:tcW w:w="1497" w:type="dxa"/>
          </w:tcPr>
          <w:p w:rsidR="00316424" w:rsidRDefault="00316424" w:rsidP="00590BA2">
            <w:pPr>
              <w:jc w:val="both"/>
            </w:pPr>
            <w:r>
              <w:t>Проведено МЭЭ страховых случаев</w:t>
            </w:r>
          </w:p>
        </w:tc>
        <w:tc>
          <w:tcPr>
            <w:tcW w:w="1329" w:type="dxa"/>
          </w:tcPr>
          <w:p w:rsidR="00316424" w:rsidRDefault="00C82536" w:rsidP="00590BA2">
            <w:pPr>
              <w:jc w:val="center"/>
            </w:pPr>
            <w:r>
              <w:t>37642</w:t>
            </w:r>
          </w:p>
        </w:tc>
        <w:tc>
          <w:tcPr>
            <w:tcW w:w="1553" w:type="dxa"/>
          </w:tcPr>
          <w:p w:rsidR="00316424" w:rsidRDefault="00C82536" w:rsidP="00590BA2">
            <w:pPr>
              <w:jc w:val="center"/>
            </w:pPr>
            <w:r>
              <w:t>2020</w:t>
            </w:r>
          </w:p>
        </w:tc>
        <w:tc>
          <w:tcPr>
            <w:tcW w:w="1781" w:type="dxa"/>
          </w:tcPr>
          <w:p w:rsidR="00316424" w:rsidRDefault="00C82536" w:rsidP="00590BA2">
            <w:pPr>
              <w:jc w:val="center"/>
            </w:pPr>
            <w:r>
              <w:t>29044</w:t>
            </w:r>
          </w:p>
        </w:tc>
        <w:tc>
          <w:tcPr>
            <w:tcW w:w="1672" w:type="dxa"/>
          </w:tcPr>
          <w:p w:rsidR="00316424" w:rsidRDefault="00C82536" w:rsidP="00590BA2">
            <w:pPr>
              <w:jc w:val="center"/>
            </w:pPr>
            <w:r>
              <w:t>1558</w:t>
            </w:r>
          </w:p>
        </w:tc>
        <w:tc>
          <w:tcPr>
            <w:tcW w:w="1672" w:type="dxa"/>
          </w:tcPr>
          <w:p w:rsidR="00316424" w:rsidRDefault="00C82536" w:rsidP="00590BA2">
            <w:pPr>
              <w:jc w:val="center"/>
            </w:pPr>
            <w:r>
              <w:t>5020</w:t>
            </w:r>
          </w:p>
        </w:tc>
      </w:tr>
      <w:tr w:rsidR="00316424" w:rsidTr="00590BA2">
        <w:tc>
          <w:tcPr>
            <w:tcW w:w="1497" w:type="dxa"/>
          </w:tcPr>
          <w:p w:rsidR="00316424" w:rsidRDefault="00316424" w:rsidP="00590BA2">
            <w:pPr>
              <w:jc w:val="both"/>
            </w:pPr>
            <w:r>
              <w:t>Выявлено нарушений</w:t>
            </w:r>
          </w:p>
        </w:tc>
        <w:tc>
          <w:tcPr>
            <w:tcW w:w="1329" w:type="dxa"/>
          </w:tcPr>
          <w:p w:rsidR="00316424" w:rsidRDefault="00590BA2" w:rsidP="00590BA2">
            <w:pPr>
              <w:jc w:val="center"/>
            </w:pPr>
            <w:r>
              <w:t>12548</w:t>
            </w:r>
          </w:p>
        </w:tc>
        <w:tc>
          <w:tcPr>
            <w:tcW w:w="1553" w:type="dxa"/>
          </w:tcPr>
          <w:p w:rsidR="00316424" w:rsidRDefault="00590BA2" w:rsidP="00590BA2">
            <w:pPr>
              <w:jc w:val="center"/>
            </w:pPr>
            <w:r>
              <w:t>47</w:t>
            </w:r>
          </w:p>
        </w:tc>
        <w:tc>
          <w:tcPr>
            <w:tcW w:w="1781" w:type="dxa"/>
          </w:tcPr>
          <w:p w:rsidR="00316424" w:rsidRDefault="00590BA2" w:rsidP="00590BA2">
            <w:pPr>
              <w:jc w:val="center"/>
            </w:pPr>
            <w:r>
              <w:t>11545</w:t>
            </w:r>
          </w:p>
        </w:tc>
        <w:tc>
          <w:tcPr>
            <w:tcW w:w="1672" w:type="dxa"/>
          </w:tcPr>
          <w:p w:rsidR="00316424" w:rsidRDefault="00590BA2" w:rsidP="00590BA2">
            <w:pPr>
              <w:jc w:val="center"/>
            </w:pPr>
            <w:r>
              <w:t>202</w:t>
            </w:r>
          </w:p>
        </w:tc>
        <w:tc>
          <w:tcPr>
            <w:tcW w:w="1672" w:type="dxa"/>
          </w:tcPr>
          <w:p w:rsidR="00316424" w:rsidRDefault="00590BA2" w:rsidP="00590BA2">
            <w:pPr>
              <w:jc w:val="center"/>
            </w:pPr>
            <w:r>
              <w:t>754</w:t>
            </w:r>
          </w:p>
        </w:tc>
      </w:tr>
      <w:tr w:rsidR="00316424" w:rsidTr="00590BA2">
        <w:tc>
          <w:tcPr>
            <w:tcW w:w="1497" w:type="dxa"/>
          </w:tcPr>
          <w:p w:rsidR="00316424" w:rsidRDefault="003772BE" w:rsidP="003772BE">
            <w:pPr>
              <w:jc w:val="both"/>
            </w:pPr>
            <w:r>
              <w:t xml:space="preserve">Доля </w:t>
            </w:r>
            <w:r w:rsidR="00316424">
              <w:t xml:space="preserve"> случаев, содержащих нарушения</w:t>
            </w:r>
            <w:r w:rsidR="00590BA2">
              <w:t xml:space="preserve"> (2022 год)</w:t>
            </w:r>
            <w:r w:rsidR="00316424">
              <w:t>, %</w:t>
            </w:r>
          </w:p>
        </w:tc>
        <w:tc>
          <w:tcPr>
            <w:tcW w:w="1329" w:type="dxa"/>
          </w:tcPr>
          <w:p w:rsidR="00316424" w:rsidRDefault="00590BA2" w:rsidP="00590BA2">
            <w:pPr>
              <w:jc w:val="center"/>
            </w:pPr>
            <w:r>
              <w:t>33,3</w:t>
            </w:r>
          </w:p>
        </w:tc>
        <w:tc>
          <w:tcPr>
            <w:tcW w:w="1553" w:type="dxa"/>
          </w:tcPr>
          <w:p w:rsidR="00316424" w:rsidRDefault="00590BA2" w:rsidP="00590BA2">
            <w:pPr>
              <w:jc w:val="center"/>
            </w:pPr>
            <w:r>
              <w:t>2,3</w:t>
            </w:r>
          </w:p>
        </w:tc>
        <w:tc>
          <w:tcPr>
            <w:tcW w:w="1781" w:type="dxa"/>
          </w:tcPr>
          <w:p w:rsidR="00316424" w:rsidRDefault="00590BA2" w:rsidP="00590BA2">
            <w:pPr>
              <w:jc w:val="center"/>
            </w:pPr>
            <w:r>
              <w:t>39,8</w:t>
            </w:r>
          </w:p>
        </w:tc>
        <w:tc>
          <w:tcPr>
            <w:tcW w:w="1672" w:type="dxa"/>
          </w:tcPr>
          <w:p w:rsidR="00316424" w:rsidRDefault="00590BA2" w:rsidP="00590BA2">
            <w:pPr>
              <w:jc w:val="center"/>
            </w:pPr>
            <w:r>
              <w:t>13,0</w:t>
            </w:r>
          </w:p>
        </w:tc>
        <w:tc>
          <w:tcPr>
            <w:tcW w:w="1672" w:type="dxa"/>
          </w:tcPr>
          <w:p w:rsidR="00316424" w:rsidRDefault="00590BA2" w:rsidP="00590BA2">
            <w:pPr>
              <w:jc w:val="center"/>
            </w:pPr>
            <w:r>
              <w:t>15,0</w:t>
            </w:r>
          </w:p>
        </w:tc>
      </w:tr>
      <w:tr w:rsidR="00590BA2" w:rsidTr="00590BA2">
        <w:tc>
          <w:tcPr>
            <w:tcW w:w="1497" w:type="dxa"/>
          </w:tcPr>
          <w:p w:rsidR="00590BA2" w:rsidRDefault="003772BE" w:rsidP="003772BE">
            <w:pPr>
              <w:jc w:val="both"/>
            </w:pPr>
            <w:r>
              <w:t xml:space="preserve">Доля </w:t>
            </w:r>
            <w:r w:rsidR="00590BA2">
              <w:t xml:space="preserve"> случаев, содержащих </w:t>
            </w:r>
            <w:r w:rsidR="00590BA2">
              <w:lastRenderedPageBreak/>
              <w:t>нарушения (2021 год), %</w:t>
            </w:r>
          </w:p>
        </w:tc>
        <w:tc>
          <w:tcPr>
            <w:tcW w:w="1329" w:type="dxa"/>
          </w:tcPr>
          <w:p w:rsidR="00590BA2" w:rsidRDefault="00590BA2" w:rsidP="00590BA2">
            <w:pPr>
              <w:jc w:val="center"/>
            </w:pPr>
            <w:r>
              <w:lastRenderedPageBreak/>
              <w:t>44,7</w:t>
            </w:r>
          </w:p>
        </w:tc>
        <w:tc>
          <w:tcPr>
            <w:tcW w:w="1553" w:type="dxa"/>
          </w:tcPr>
          <w:p w:rsidR="00590BA2" w:rsidRDefault="00590BA2" w:rsidP="00590BA2">
            <w:pPr>
              <w:jc w:val="center"/>
            </w:pPr>
            <w:r>
              <w:t>42,2</w:t>
            </w:r>
          </w:p>
        </w:tc>
        <w:tc>
          <w:tcPr>
            <w:tcW w:w="1781" w:type="dxa"/>
          </w:tcPr>
          <w:p w:rsidR="00590BA2" w:rsidRDefault="00590BA2" w:rsidP="00590BA2">
            <w:pPr>
              <w:jc w:val="center"/>
            </w:pPr>
            <w:r>
              <w:t>48,9</w:t>
            </w:r>
          </w:p>
        </w:tc>
        <w:tc>
          <w:tcPr>
            <w:tcW w:w="1672" w:type="dxa"/>
          </w:tcPr>
          <w:p w:rsidR="00590BA2" w:rsidRDefault="00590BA2" w:rsidP="00590BA2">
            <w:pPr>
              <w:jc w:val="center"/>
            </w:pPr>
            <w:r>
              <w:t>15,8</w:t>
            </w:r>
          </w:p>
        </w:tc>
        <w:tc>
          <w:tcPr>
            <w:tcW w:w="1672" w:type="dxa"/>
          </w:tcPr>
          <w:p w:rsidR="00590BA2" w:rsidRDefault="00590BA2" w:rsidP="00590BA2">
            <w:pPr>
              <w:jc w:val="center"/>
            </w:pPr>
            <w:r>
              <w:t>30,7</w:t>
            </w:r>
          </w:p>
        </w:tc>
      </w:tr>
    </w:tbl>
    <w:p w:rsidR="00316424" w:rsidRDefault="00316424" w:rsidP="00905394">
      <w:pPr>
        <w:jc w:val="right"/>
      </w:pPr>
    </w:p>
    <w:p w:rsidR="00905394" w:rsidRDefault="00905394" w:rsidP="00905394">
      <w:pPr>
        <w:ind w:left="68" w:firstLine="640"/>
        <w:jc w:val="both"/>
      </w:pPr>
      <w:r>
        <w:t>По результатам МЭЭ выявлено 1</w:t>
      </w:r>
      <w:r w:rsidR="00590BA2">
        <w:t xml:space="preserve">2 548 </w:t>
      </w:r>
      <w:r>
        <w:t xml:space="preserve"> нарушений, или </w:t>
      </w:r>
      <w:r w:rsidR="00590BA2">
        <w:t xml:space="preserve">33,3 % </w:t>
      </w:r>
      <w:r>
        <w:t xml:space="preserve"> страховых случаев, подвергнутых МЭЭ, содержат дефекты оказания МП. В разрезе условий оказания МП больше всего содержат нарушения случаи  оказания амбулаторной помощи</w:t>
      </w:r>
      <w:r w:rsidR="00302EFD">
        <w:t xml:space="preserve">, подвергнутые МЭЭ, </w:t>
      </w:r>
      <w:r>
        <w:t xml:space="preserve"> </w:t>
      </w:r>
      <w:r w:rsidR="00590BA2">
        <w:t xml:space="preserve">39,8 </w:t>
      </w:r>
      <w:r>
        <w:t xml:space="preserve"> % и с</w:t>
      </w:r>
      <w:r w:rsidR="00590BA2">
        <w:t xml:space="preserve">тационарной </w:t>
      </w:r>
      <w:r>
        <w:t xml:space="preserve"> помощи – </w:t>
      </w:r>
      <w:r w:rsidR="00590BA2">
        <w:t xml:space="preserve">15,0 </w:t>
      </w:r>
      <w:r>
        <w:t xml:space="preserve"> %. </w:t>
      </w:r>
    </w:p>
    <w:p w:rsidR="00590BA2" w:rsidRPr="009E5034" w:rsidRDefault="00590BA2" w:rsidP="00905394">
      <w:pPr>
        <w:ind w:left="68" w:firstLine="640"/>
        <w:jc w:val="both"/>
      </w:pPr>
      <w:r>
        <w:t xml:space="preserve">По сравнению с 2021 годом отмечена положительная динамика в виде уменьшения  числа  выявленных нарушений </w:t>
      </w:r>
      <w:r w:rsidR="003772BE">
        <w:t xml:space="preserve">на 970, и </w:t>
      </w:r>
      <w:r w:rsidR="001A73E6">
        <w:t>доли</w:t>
      </w:r>
      <w:r w:rsidR="003772BE">
        <w:t xml:space="preserve"> случаев, содержащих дефекты, с 44,4 % до 33,3 %. Доля случаев  с нарушениями при  оказании  скорой МП   снизилась с 42,2 % в 2021 году до 2,3 % в 2022 году, и при оказании стационарной помощи снизилось с 30,7 % до 15,0 %. </w:t>
      </w:r>
    </w:p>
    <w:p w:rsidR="000E0400" w:rsidRDefault="000E0400" w:rsidP="008600AC">
      <w:pPr>
        <w:ind w:left="68" w:firstLine="640"/>
        <w:jc w:val="both"/>
      </w:pPr>
    </w:p>
    <w:p w:rsidR="008600AC" w:rsidRPr="009E5034" w:rsidRDefault="008600AC" w:rsidP="008600AC">
      <w:pPr>
        <w:jc w:val="center"/>
      </w:pPr>
      <w:r w:rsidRPr="009E5034">
        <w:t>Структура основных нарушений, выявленных по результатам медико-экономической экспертизы</w:t>
      </w:r>
      <w:r w:rsidR="00302EFD">
        <w:t>,</w:t>
      </w:r>
      <w:r w:rsidRPr="009E5034">
        <w:t xml:space="preserve"> в </w:t>
      </w:r>
      <w:r w:rsidR="00FD271D" w:rsidRPr="009E5034">
        <w:t>20</w:t>
      </w:r>
      <w:r w:rsidR="005121EF">
        <w:t>2</w:t>
      </w:r>
      <w:r w:rsidR="003772BE">
        <w:t>2</w:t>
      </w:r>
      <w:r w:rsidR="00302EFD">
        <w:t xml:space="preserve"> году </w:t>
      </w: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3772BE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322" w:type="dxa"/>
        <w:tblLayout w:type="fixed"/>
        <w:tblLook w:val="04A0"/>
      </w:tblPr>
      <w:tblGrid>
        <w:gridCol w:w="675"/>
        <w:gridCol w:w="4395"/>
        <w:gridCol w:w="992"/>
        <w:gridCol w:w="992"/>
        <w:gridCol w:w="1134"/>
        <w:gridCol w:w="1134"/>
      </w:tblGrid>
      <w:tr w:rsidR="00331536" w:rsidRPr="009E5034" w:rsidTr="00DC2751">
        <w:tc>
          <w:tcPr>
            <w:tcW w:w="675" w:type="dxa"/>
            <w:vMerge w:val="restart"/>
          </w:tcPr>
          <w:p w:rsidR="00331536" w:rsidRDefault="00331536" w:rsidP="00270A6E">
            <w:r>
              <w:t>№</w:t>
            </w:r>
          </w:p>
        </w:tc>
        <w:tc>
          <w:tcPr>
            <w:tcW w:w="4395" w:type="dxa"/>
            <w:vMerge w:val="restart"/>
          </w:tcPr>
          <w:p w:rsidR="00331536" w:rsidRDefault="00331536" w:rsidP="00270A6E"/>
          <w:p w:rsidR="00331536" w:rsidRPr="009E5034" w:rsidRDefault="00331536" w:rsidP="00270A6E">
            <w:r>
              <w:t>Дефекты оказания МП</w:t>
            </w:r>
          </w:p>
        </w:tc>
        <w:tc>
          <w:tcPr>
            <w:tcW w:w="4252" w:type="dxa"/>
            <w:gridSpan w:val="4"/>
          </w:tcPr>
          <w:p w:rsidR="00331536" w:rsidRPr="009E5034" w:rsidRDefault="00331536" w:rsidP="00442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выявленных нарушений</w:t>
            </w:r>
          </w:p>
        </w:tc>
      </w:tr>
      <w:tr w:rsidR="00024190" w:rsidRPr="009E5034" w:rsidTr="003772BE">
        <w:tc>
          <w:tcPr>
            <w:tcW w:w="675" w:type="dxa"/>
            <w:vMerge/>
          </w:tcPr>
          <w:p w:rsidR="00024190" w:rsidRPr="009E5034" w:rsidRDefault="00024190" w:rsidP="00270A6E"/>
        </w:tc>
        <w:tc>
          <w:tcPr>
            <w:tcW w:w="4395" w:type="dxa"/>
            <w:vMerge/>
          </w:tcPr>
          <w:p w:rsidR="00024190" w:rsidRPr="009E5034" w:rsidRDefault="00024190" w:rsidP="00270A6E"/>
        </w:tc>
        <w:tc>
          <w:tcPr>
            <w:tcW w:w="992" w:type="dxa"/>
          </w:tcPr>
          <w:p w:rsidR="00024190" w:rsidRPr="009E5034" w:rsidRDefault="00024190" w:rsidP="009A2D76">
            <w:pPr>
              <w:pStyle w:val="20"/>
              <w:spacing w:line="240" w:lineRule="auto"/>
              <w:jc w:val="both"/>
            </w:pPr>
            <w:r>
              <w:t>2022 год (абс. знач.)</w:t>
            </w:r>
          </w:p>
        </w:tc>
        <w:tc>
          <w:tcPr>
            <w:tcW w:w="992" w:type="dxa"/>
          </w:tcPr>
          <w:p w:rsidR="00024190" w:rsidRPr="009E5034" w:rsidRDefault="00024190" w:rsidP="009A2D76">
            <w:pPr>
              <w:pStyle w:val="20"/>
              <w:spacing w:line="240" w:lineRule="auto"/>
              <w:jc w:val="both"/>
            </w:pPr>
            <w:r>
              <w:t>2021 год (абс.знач.)</w:t>
            </w:r>
          </w:p>
        </w:tc>
        <w:tc>
          <w:tcPr>
            <w:tcW w:w="1134" w:type="dxa"/>
          </w:tcPr>
          <w:p w:rsidR="00024190" w:rsidRPr="009E5034" w:rsidRDefault="00024190" w:rsidP="009A2D76">
            <w:pPr>
              <w:pStyle w:val="20"/>
              <w:spacing w:line="240" w:lineRule="auto"/>
              <w:jc w:val="both"/>
            </w:pPr>
            <w:r>
              <w:t xml:space="preserve">Динамика </w:t>
            </w:r>
          </w:p>
        </w:tc>
        <w:tc>
          <w:tcPr>
            <w:tcW w:w="1134" w:type="dxa"/>
          </w:tcPr>
          <w:p w:rsidR="00024190" w:rsidRPr="009E5034" w:rsidRDefault="00024190" w:rsidP="009A2D76">
            <w:pPr>
              <w:pStyle w:val="20"/>
              <w:spacing w:line="240" w:lineRule="auto"/>
              <w:jc w:val="both"/>
            </w:pPr>
            <w:r w:rsidRPr="009E5034">
              <w:t>Удельный вес</w:t>
            </w:r>
            <w:r>
              <w:t xml:space="preserve"> (2022г.)</w:t>
            </w:r>
            <w:r w:rsidRPr="009E5034">
              <w:t>, %</w:t>
            </w:r>
          </w:p>
        </w:tc>
      </w:tr>
      <w:tr w:rsidR="00024190" w:rsidRPr="009E5034" w:rsidTr="003772BE">
        <w:tc>
          <w:tcPr>
            <w:tcW w:w="675" w:type="dxa"/>
          </w:tcPr>
          <w:p w:rsidR="00024190" w:rsidRPr="009E5034" w:rsidRDefault="00024190" w:rsidP="00FD271D">
            <w:r>
              <w:t>1</w:t>
            </w:r>
          </w:p>
        </w:tc>
        <w:tc>
          <w:tcPr>
            <w:tcW w:w="4395" w:type="dxa"/>
          </w:tcPr>
          <w:p w:rsidR="00024190" w:rsidRPr="009E5034" w:rsidRDefault="00024190" w:rsidP="00FD271D">
            <w:r w:rsidRPr="009E5034">
              <w:t>непредставление первичной мед. документации, подтверждающей оказание мед. помощи</w:t>
            </w:r>
          </w:p>
        </w:tc>
        <w:tc>
          <w:tcPr>
            <w:tcW w:w="992" w:type="dxa"/>
          </w:tcPr>
          <w:p w:rsidR="00024190" w:rsidRDefault="001A7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4138</w:t>
            </w: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024190" w:rsidRPr="009E5034" w:rsidTr="003772BE">
        <w:trPr>
          <w:trHeight w:val="906"/>
        </w:trPr>
        <w:tc>
          <w:tcPr>
            <w:tcW w:w="675" w:type="dxa"/>
          </w:tcPr>
          <w:p w:rsidR="00024190" w:rsidRPr="009E5034" w:rsidRDefault="00024190" w:rsidP="00270A6E">
            <w:r>
              <w:t>2</w:t>
            </w:r>
          </w:p>
        </w:tc>
        <w:tc>
          <w:tcPr>
            <w:tcW w:w="4395" w:type="dxa"/>
          </w:tcPr>
          <w:p w:rsidR="00024190" w:rsidRPr="009E5034" w:rsidRDefault="00024190" w:rsidP="004F06DA">
            <w:r w:rsidRPr="009E5034">
              <w:t>несоответствие данных  первичной мед</w:t>
            </w:r>
            <w:r>
              <w:t xml:space="preserve">ицинской </w:t>
            </w:r>
            <w:r w:rsidRPr="009E5034">
              <w:t xml:space="preserve"> документации данным счетов (реестров счетов)</w:t>
            </w:r>
          </w:p>
        </w:tc>
        <w:tc>
          <w:tcPr>
            <w:tcW w:w="992" w:type="dxa"/>
          </w:tcPr>
          <w:p w:rsidR="00024190" w:rsidRDefault="001A7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-516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024190" w:rsidRPr="009E5034" w:rsidTr="003772BE">
        <w:tc>
          <w:tcPr>
            <w:tcW w:w="675" w:type="dxa"/>
          </w:tcPr>
          <w:p w:rsidR="00024190" w:rsidRPr="009E5034" w:rsidRDefault="00024190" w:rsidP="00270A6E">
            <w:r>
              <w:t>3</w:t>
            </w:r>
          </w:p>
        </w:tc>
        <w:tc>
          <w:tcPr>
            <w:tcW w:w="4395" w:type="dxa"/>
          </w:tcPr>
          <w:p w:rsidR="00024190" w:rsidRPr="009E5034" w:rsidRDefault="00024190" w:rsidP="00270A6E">
            <w:r w:rsidRPr="009E5034">
              <w:t>Нарушение условий оказания мед. помощи</w:t>
            </w:r>
          </w:p>
        </w:tc>
        <w:tc>
          <w:tcPr>
            <w:tcW w:w="992" w:type="dxa"/>
          </w:tcPr>
          <w:p w:rsidR="00024190" w:rsidRDefault="001A7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-245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024190" w:rsidRPr="009E5034" w:rsidTr="003772BE">
        <w:tc>
          <w:tcPr>
            <w:tcW w:w="675" w:type="dxa"/>
          </w:tcPr>
          <w:p w:rsidR="00024190" w:rsidRDefault="00024190" w:rsidP="00270A6E">
            <w:r>
              <w:t>3.1.</w:t>
            </w:r>
          </w:p>
        </w:tc>
        <w:tc>
          <w:tcPr>
            <w:tcW w:w="4395" w:type="dxa"/>
          </w:tcPr>
          <w:p w:rsidR="00024190" w:rsidRPr="009E5034" w:rsidRDefault="00024190" w:rsidP="00270A6E">
            <w:r w:rsidRPr="00CD59C9">
              <w:t>несвоевременное включение застрахованных лиц в группу диспансерного наблюдения</w:t>
            </w:r>
          </w:p>
        </w:tc>
        <w:tc>
          <w:tcPr>
            <w:tcW w:w="992" w:type="dxa"/>
          </w:tcPr>
          <w:p w:rsidR="00024190" w:rsidRDefault="001A7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-243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24190" w:rsidRPr="009E5034" w:rsidTr="003772BE">
        <w:tc>
          <w:tcPr>
            <w:tcW w:w="675" w:type="dxa"/>
          </w:tcPr>
          <w:p w:rsidR="00024190" w:rsidRPr="009E5034" w:rsidRDefault="00024190" w:rsidP="00270A6E">
            <w:r>
              <w:t>3.2.</w:t>
            </w:r>
          </w:p>
        </w:tc>
        <w:tc>
          <w:tcPr>
            <w:tcW w:w="4395" w:type="dxa"/>
          </w:tcPr>
          <w:p w:rsidR="00024190" w:rsidRPr="009E5034" w:rsidRDefault="00024190" w:rsidP="00270A6E">
            <w:r w:rsidRPr="009E5034">
              <w:t>непрофильная госпитализация</w:t>
            </w: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24190" w:rsidRDefault="0002419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24190" w:rsidRDefault="00024190">
            <w:pPr>
              <w:jc w:val="center"/>
              <w:rPr>
                <w:color w:val="000000"/>
              </w:rPr>
            </w:pPr>
          </w:p>
        </w:tc>
      </w:tr>
      <w:tr w:rsidR="00024190" w:rsidRPr="009E5034" w:rsidTr="003772BE">
        <w:tc>
          <w:tcPr>
            <w:tcW w:w="675" w:type="dxa"/>
          </w:tcPr>
          <w:p w:rsidR="00024190" w:rsidRDefault="00024190" w:rsidP="00270A6E">
            <w:r>
              <w:t>4</w:t>
            </w:r>
          </w:p>
        </w:tc>
        <w:tc>
          <w:tcPr>
            <w:tcW w:w="4395" w:type="dxa"/>
          </w:tcPr>
          <w:p w:rsidR="00024190" w:rsidRPr="009E5034" w:rsidRDefault="00024190" w:rsidP="00270A6E">
            <w:r w:rsidRPr="00CD59C9">
              <w:t>взимание платы с застрахованного лица за оказанную медицинскую помощь, предусмотренную программами ОМС</w:t>
            </w: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1134" w:type="dxa"/>
          </w:tcPr>
          <w:p w:rsidR="00024190" w:rsidRDefault="00024190">
            <w:pPr>
              <w:jc w:val="center"/>
              <w:rPr>
                <w:color w:val="000000"/>
              </w:rPr>
            </w:pPr>
          </w:p>
        </w:tc>
      </w:tr>
      <w:tr w:rsidR="00024190" w:rsidRPr="009E5034" w:rsidTr="003772BE">
        <w:tc>
          <w:tcPr>
            <w:tcW w:w="675" w:type="dxa"/>
          </w:tcPr>
          <w:p w:rsidR="00024190" w:rsidRPr="009E5034" w:rsidRDefault="00024190" w:rsidP="00270A6E">
            <w:pPr>
              <w:pStyle w:val="20"/>
              <w:spacing w:line="240" w:lineRule="auto"/>
              <w:jc w:val="both"/>
            </w:pPr>
            <w:r>
              <w:t>5</w:t>
            </w:r>
          </w:p>
        </w:tc>
        <w:tc>
          <w:tcPr>
            <w:tcW w:w="4395" w:type="dxa"/>
          </w:tcPr>
          <w:p w:rsidR="00024190" w:rsidRPr="009E5034" w:rsidRDefault="00024190" w:rsidP="00270A6E">
            <w:pPr>
              <w:pStyle w:val="20"/>
              <w:spacing w:line="240" w:lineRule="auto"/>
              <w:jc w:val="both"/>
            </w:pPr>
            <w:r w:rsidRPr="009E5034">
              <w:t>прочие нарушения в соответствии с Перечнем</w:t>
            </w:r>
          </w:p>
        </w:tc>
        <w:tc>
          <w:tcPr>
            <w:tcW w:w="992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7963</w:t>
            </w: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9146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-1183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</w:tr>
      <w:tr w:rsidR="00024190" w:rsidRPr="009E5034" w:rsidTr="003772BE">
        <w:tc>
          <w:tcPr>
            <w:tcW w:w="675" w:type="dxa"/>
          </w:tcPr>
          <w:p w:rsidR="00024190" w:rsidRPr="009E5034" w:rsidRDefault="00024190" w:rsidP="00270A6E">
            <w:pPr>
              <w:pStyle w:val="20"/>
              <w:spacing w:line="240" w:lineRule="auto"/>
              <w:jc w:val="both"/>
            </w:pPr>
          </w:p>
        </w:tc>
        <w:tc>
          <w:tcPr>
            <w:tcW w:w="4395" w:type="dxa"/>
          </w:tcPr>
          <w:p w:rsidR="00024190" w:rsidRPr="009E5034" w:rsidRDefault="00024190" w:rsidP="00270A6E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992" w:type="dxa"/>
          </w:tcPr>
          <w:p w:rsidR="00024190" w:rsidRDefault="001A7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12548</w:t>
            </w:r>
          </w:p>
        </w:tc>
        <w:tc>
          <w:tcPr>
            <w:tcW w:w="992" w:type="dxa"/>
          </w:tcPr>
          <w:p w:rsidR="00024190" w:rsidRDefault="00024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13518</w:t>
            </w:r>
          </w:p>
        </w:tc>
        <w:tc>
          <w:tcPr>
            <w:tcW w:w="1134" w:type="dxa"/>
          </w:tcPr>
          <w:p w:rsidR="00024190" w:rsidRDefault="0031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-970</w:t>
            </w:r>
          </w:p>
        </w:tc>
        <w:tc>
          <w:tcPr>
            <w:tcW w:w="1134" w:type="dxa"/>
          </w:tcPr>
          <w:p w:rsidR="00024190" w:rsidRDefault="00024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8600AC" w:rsidRDefault="008600AC" w:rsidP="008600AC">
      <w:pPr>
        <w:jc w:val="center"/>
      </w:pPr>
    </w:p>
    <w:p w:rsidR="00D20F60" w:rsidRPr="009E5034" w:rsidRDefault="00D20F60" w:rsidP="008600AC">
      <w:pPr>
        <w:jc w:val="center"/>
      </w:pPr>
    </w:p>
    <w:p w:rsidR="00864C0A" w:rsidRPr="009E5034" w:rsidRDefault="008600AC" w:rsidP="008600AC">
      <w:pPr>
        <w:jc w:val="both"/>
      </w:pPr>
      <w:r w:rsidRPr="009E5034">
        <w:t xml:space="preserve"> </w:t>
      </w:r>
      <w:r w:rsidR="00E4243B">
        <w:t xml:space="preserve">Структура </w:t>
      </w:r>
      <w:r w:rsidR="00967AB8" w:rsidRPr="009E5034">
        <w:t xml:space="preserve"> </w:t>
      </w:r>
      <w:r w:rsidRPr="009E5034">
        <w:t xml:space="preserve"> выявленных нарушений </w:t>
      </w:r>
      <w:r w:rsidR="00E4243B">
        <w:t>не изменилась, как и по итогам контроля 202</w:t>
      </w:r>
      <w:r w:rsidR="00313616">
        <w:t>1</w:t>
      </w:r>
      <w:r w:rsidR="00E4243B">
        <w:t xml:space="preserve"> года</w:t>
      </w:r>
      <w:r w:rsidRPr="009E5034">
        <w:t xml:space="preserve"> </w:t>
      </w:r>
      <w:r w:rsidR="0044248A" w:rsidRPr="009E5034">
        <w:t>преобладают</w:t>
      </w:r>
      <w:r w:rsidR="00967AB8" w:rsidRPr="009E5034">
        <w:t xml:space="preserve"> </w:t>
      </w:r>
      <w:r w:rsidRPr="009E5034">
        <w:t xml:space="preserve"> нарушени</w:t>
      </w:r>
      <w:r w:rsidR="0044248A" w:rsidRPr="009E5034">
        <w:t>я</w:t>
      </w:r>
      <w:r w:rsidRPr="009E5034">
        <w:t>, связанны</w:t>
      </w:r>
      <w:r w:rsidR="0044248A" w:rsidRPr="009E5034">
        <w:t xml:space="preserve">е с прочими нарушениями, входящими в Перечень </w:t>
      </w:r>
      <w:r w:rsidR="009A7288">
        <w:t xml:space="preserve">оснований для уменьшения оплаты  </w:t>
      </w:r>
      <w:r w:rsidR="0044248A" w:rsidRPr="009E5034">
        <w:t xml:space="preserve">(в основном это нарушения, связанные с нарушением при оказании медицинской помощи) – </w:t>
      </w:r>
      <w:r w:rsidR="00313616">
        <w:t xml:space="preserve">63,4 </w:t>
      </w:r>
      <w:r w:rsidR="00DF7482">
        <w:t xml:space="preserve"> % (в 202</w:t>
      </w:r>
      <w:r w:rsidR="00313616">
        <w:t>1</w:t>
      </w:r>
      <w:r w:rsidR="00DF7482">
        <w:t xml:space="preserve"> году </w:t>
      </w:r>
      <w:r w:rsidR="00313616">
        <w:t>–</w:t>
      </w:r>
      <w:r w:rsidR="00DF7482">
        <w:t xml:space="preserve"> </w:t>
      </w:r>
      <w:r w:rsidR="00313616">
        <w:t xml:space="preserve">67,7 </w:t>
      </w:r>
      <w:r w:rsidR="0044248A" w:rsidRPr="009E5034">
        <w:t>%</w:t>
      </w:r>
      <w:r w:rsidR="00DF7482">
        <w:t xml:space="preserve">), и связанные с </w:t>
      </w:r>
      <w:r w:rsidR="0044248A" w:rsidRPr="009E5034">
        <w:t xml:space="preserve">  </w:t>
      </w:r>
      <w:r w:rsidRPr="009E5034">
        <w:t xml:space="preserve"> непредставление</w:t>
      </w:r>
      <w:r w:rsidR="00DF7482">
        <w:t xml:space="preserve">м </w:t>
      </w:r>
      <w:r w:rsidRPr="009E5034">
        <w:t xml:space="preserve"> пер</w:t>
      </w:r>
      <w:r w:rsidR="0044248A" w:rsidRPr="009E5034">
        <w:t>вичной медицинской  документации, подтверждающей ф</w:t>
      </w:r>
      <w:r w:rsidR="00DF7482">
        <w:t xml:space="preserve">акт оказания медицинской помощи, </w:t>
      </w:r>
      <w:r w:rsidRPr="009E5034">
        <w:t xml:space="preserve">– </w:t>
      </w:r>
      <w:r w:rsidR="00DF7482">
        <w:t xml:space="preserve"> 2</w:t>
      </w:r>
      <w:r w:rsidR="00313616">
        <w:t xml:space="preserve">33,0 </w:t>
      </w:r>
      <w:r w:rsidR="00DF7482">
        <w:t xml:space="preserve">% (в 202 году </w:t>
      </w:r>
      <w:r w:rsidR="00313616">
        <w:t>–</w:t>
      </w:r>
      <w:r w:rsidR="00DF7482">
        <w:t xml:space="preserve"> </w:t>
      </w:r>
      <w:r w:rsidR="00313616">
        <w:t xml:space="preserve">23,7 </w:t>
      </w:r>
      <w:r w:rsidRPr="009E5034">
        <w:t>%</w:t>
      </w:r>
      <w:r w:rsidR="00DF7482">
        <w:t>)</w:t>
      </w:r>
      <w:r w:rsidRPr="009E5034">
        <w:t xml:space="preserve">. </w:t>
      </w:r>
    </w:p>
    <w:p w:rsidR="008600AC" w:rsidRDefault="008600AC" w:rsidP="008600AC">
      <w:pPr>
        <w:jc w:val="both"/>
      </w:pPr>
    </w:p>
    <w:p w:rsidR="00BB5554" w:rsidRPr="009E5034" w:rsidRDefault="003B6993" w:rsidP="00860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>Выполнение страхов</w:t>
      </w:r>
      <w:r w:rsidR="001520C3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1520C3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520C3" w:rsidRPr="009E5034">
        <w:rPr>
          <w:rFonts w:ascii="Times New Roman" w:hAnsi="Times New Roman" w:cs="Times New Roman"/>
          <w:sz w:val="24"/>
          <w:szCs w:val="24"/>
        </w:rPr>
        <w:t>ей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</w:t>
      </w:r>
      <w:r w:rsidR="00BB5554" w:rsidRPr="009E5034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9E5034">
        <w:rPr>
          <w:rFonts w:ascii="Times New Roman" w:hAnsi="Times New Roman" w:cs="Times New Roman"/>
          <w:sz w:val="24"/>
          <w:szCs w:val="24"/>
        </w:rPr>
        <w:t>объема медико-экономических экспертиз</w:t>
      </w:r>
      <w:r w:rsidR="008600AC" w:rsidRPr="009E5034">
        <w:rPr>
          <w:rFonts w:ascii="Times New Roman" w:hAnsi="Times New Roman" w:cs="Times New Roman"/>
          <w:sz w:val="24"/>
          <w:szCs w:val="24"/>
        </w:rPr>
        <w:t xml:space="preserve"> в 20</w:t>
      </w:r>
      <w:r w:rsidR="00D20F60">
        <w:rPr>
          <w:rFonts w:ascii="Times New Roman" w:hAnsi="Times New Roman" w:cs="Times New Roman"/>
          <w:sz w:val="24"/>
          <w:szCs w:val="24"/>
        </w:rPr>
        <w:t>2</w:t>
      </w:r>
      <w:r w:rsidR="00313616">
        <w:rPr>
          <w:rFonts w:ascii="Times New Roman" w:hAnsi="Times New Roman" w:cs="Times New Roman"/>
          <w:sz w:val="24"/>
          <w:szCs w:val="24"/>
        </w:rPr>
        <w:t>2</w:t>
      </w:r>
      <w:r w:rsidR="009A7288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lastRenderedPageBreak/>
        <w:t xml:space="preserve"> Таблица № </w:t>
      </w:r>
      <w:r w:rsidR="006606C4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1418"/>
        <w:gridCol w:w="1417"/>
        <w:gridCol w:w="1560"/>
        <w:gridCol w:w="1417"/>
      </w:tblGrid>
      <w:tr w:rsidR="003B6993" w:rsidRPr="009E5034" w:rsidTr="00864960">
        <w:trPr>
          <w:trHeight w:val="1337"/>
        </w:trPr>
        <w:tc>
          <w:tcPr>
            <w:tcW w:w="3510" w:type="dxa"/>
          </w:tcPr>
          <w:p w:rsidR="003B6993" w:rsidRPr="00146BF7" w:rsidRDefault="00C312FD" w:rsidP="00146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F7">
              <w:rPr>
                <w:rFonts w:ascii="Times New Roman" w:hAnsi="Times New Roman" w:cs="Times New Roman"/>
                <w:sz w:val="24"/>
                <w:szCs w:val="24"/>
              </w:rPr>
              <w:t>Условия медицинской помощи</w:t>
            </w:r>
          </w:p>
        </w:tc>
        <w:tc>
          <w:tcPr>
            <w:tcW w:w="1418" w:type="dxa"/>
          </w:tcPr>
          <w:p w:rsidR="003B6993" w:rsidRPr="009E5034" w:rsidRDefault="003B6993" w:rsidP="00AF6723">
            <w:pPr>
              <w:jc w:val="center"/>
            </w:pPr>
            <w:r w:rsidRPr="009E5034">
              <w:t>Количество принятых счетов</w:t>
            </w:r>
          </w:p>
        </w:tc>
        <w:tc>
          <w:tcPr>
            <w:tcW w:w="1417" w:type="dxa"/>
          </w:tcPr>
          <w:p w:rsidR="003B6993" w:rsidRPr="009E5034" w:rsidRDefault="003B6993" w:rsidP="00AF6723">
            <w:pPr>
              <w:jc w:val="center"/>
            </w:pPr>
            <w:r w:rsidRPr="009E5034">
              <w:t>Количество МЭЭ</w:t>
            </w:r>
          </w:p>
        </w:tc>
        <w:tc>
          <w:tcPr>
            <w:tcW w:w="1560" w:type="dxa"/>
          </w:tcPr>
          <w:p w:rsidR="003B6993" w:rsidRPr="009E5034" w:rsidRDefault="003B6993" w:rsidP="00AF6723">
            <w:pPr>
              <w:jc w:val="center"/>
            </w:pPr>
            <w:r w:rsidRPr="009E5034">
              <w:t>Норматив</w:t>
            </w:r>
            <w:r w:rsidR="009A7288">
              <w:t>, установленный приказом МЗ РФ №</w:t>
            </w:r>
            <w:r w:rsidRPr="009E5034">
              <w:t xml:space="preserve"> </w:t>
            </w:r>
            <w:r w:rsidR="009A7288">
              <w:t>231н, %</w:t>
            </w:r>
          </w:p>
        </w:tc>
        <w:tc>
          <w:tcPr>
            <w:tcW w:w="1417" w:type="dxa"/>
          </w:tcPr>
          <w:p w:rsidR="003B6993" w:rsidRPr="009E5034" w:rsidRDefault="009A7288" w:rsidP="00AF6723">
            <w:pPr>
              <w:jc w:val="center"/>
            </w:pPr>
            <w:r>
              <w:t>В</w:t>
            </w:r>
            <w:r w:rsidR="003B6993" w:rsidRPr="009E5034">
              <w:t>ыполнени</w:t>
            </w:r>
            <w:r>
              <w:t>е норматива, %</w:t>
            </w:r>
          </w:p>
        </w:tc>
      </w:tr>
      <w:tr w:rsidR="003B6993" w:rsidRPr="009E5034" w:rsidTr="003B6993">
        <w:tc>
          <w:tcPr>
            <w:tcW w:w="3510" w:type="dxa"/>
          </w:tcPr>
          <w:p w:rsidR="003B6993" w:rsidRPr="009E5034" w:rsidRDefault="003B6993" w:rsidP="00F65316">
            <w:r w:rsidRPr="009E5034">
              <w:t>Амбулаторно-поликлиническая медицинская помощь</w:t>
            </w:r>
          </w:p>
        </w:tc>
        <w:tc>
          <w:tcPr>
            <w:tcW w:w="1418" w:type="dxa"/>
          </w:tcPr>
          <w:p w:rsidR="003B6993" w:rsidRPr="009E5034" w:rsidRDefault="00DB7FC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1200990</w:t>
            </w:r>
          </w:p>
        </w:tc>
        <w:tc>
          <w:tcPr>
            <w:tcW w:w="1417" w:type="dxa"/>
          </w:tcPr>
          <w:p w:rsidR="003B6993" w:rsidRPr="009E5034" w:rsidRDefault="00F360CD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28762</w:t>
            </w:r>
          </w:p>
        </w:tc>
        <w:tc>
          <w:tcPr>
            <w:tcW w:w="1560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B6993" w:rsidRPr="009E5034" w:rsidRDefault="00F360CD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B6993" w:rsidRPr="009E5034" w:rsidTr="003B6993">
        <w:tc>
          <w:tcPr>
            <w:tcW w:w="3510" w:type="dxa"/>
          </w:tcPr>
          <w:p w:rsidR="003B6993" w:rsidRPr="009E5034" w:rsidRDefault="003B6993" w:rsidP="00F65316">
            <w:r w:rsidRPr="009E5034">
              <w:t>Стационарная медицинская помощь</w:t>
            </w:r>
          </w:p>
        </w:tc>
        <w:tc>
          <w:tcPr>
            <w:tcW w:w="1418" w:type="dxa"/>
          </w:tcPr>
          <w:p w:rsidR="003B6993" w:rsidRPr="009E5034" w:rsidRDefault="00DB7FC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33829</w:t>
            </w:r>
          </w:p>
        </w:tc>
        <w:tc>
          <w:tcPr>
            <w:tcW w:w="1417" w:type="dxa"/>
          </w:tcPr>
          <w:p w:rsidR="003B6993" w:rsidRPr="009E5034" w:rsidRDefault="00F360CD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4921</w:t>
            </w:r>
          </w:p>
        </w:tc>
        <w:tc>
          <w:tcPr>
            <w:tcW w:w="1560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3B6993" w:rsidRPr="009E5034" w:rsidRDefault="00F360CD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B6993" w:rsidRPr="009E5034" w:rsidTr="003B6993">
        <w:tc>
          <w:tcPr>
            <w:tcW w:w="3510" w:type="dxa"/>
          </w:tcPr>
          <w:p w:rsidR="003B6993" w:rsidRPr="009E5034" w:rsidRDefault="003B6993" w:rsidP="00F65316">
            <w:r w:rsidRPr="009E5034">
              <w:t>Стационарозамещающая медицинская помощь</w:t>
            </w:r>
          </w:p>
        </w:tc>
        <w:tc>
          <w:tcPr>
            <w:tcW w:w="1418" w:type="dxa"/>
          </w:tcPr>
          <w:p w:rsidR="003B6993" w:rsidRPr="009E5034" w:rsidRDefault="00DB7FC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12989</w:t>
            </w:r>
          </w:p>
        </w:tc>
        <w:tc>
          <w:tcPr>
            <w:tcW w:w="1417" w:type="dxa"/>
          </w:tcPr>
          <w:p w:rsidR="003B6993" w:rsidRPr="009E5034" w:rsidRDefault="00F360CD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560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3B6993" w:rsidRPr="009E5034" w:rsidRDefault="00F360CD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3B6993" w:rsidRPr="009E5034" w:rsidTr="003B6993">
        <w:tc>
          <w:tcPr>
            <w:tcW w:w="3510" w:type="dxa"/>
          </w:tcPr>
          <w:p w:rsidR="003B6993" w:rsidRPr="009E5034" w:rsidRDefault="003B6993" w:rsidP="00F65316">
            <w:r w:rsidRPr="009E5034">
              <w:t>Скорая медицинская помощь вне медицинской организаци</w:t>
            </w:r>
            <w:r w:rsidR="00A74A00" w:rsidRPr="009E5034">
              <w:t>и</w:t>
            </w:r>
          </w:p>
        </w:tc>
        <w:tc>
          <w:tcPr>
            <w:tcW w:w="1418" w:type="dxa"/>
          </w:tcPr>
          <w:p w:rsidR="003B6993" w:rsidRPr="009E5034" w:rsidRDefault="00DB7FC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77656</w:t>
            </w:r>
          </w:p>
        </w:tc>
        <w:tc>
          <w:tcPr>
            <w:tcW w:w="1417" w:type="dxa"/>
          </w:tcPr>
          <w:p w:rsidR="003B6993" w:rsidRPr="009E5034" w:rsidRDefault="00F360CD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60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3B6993" w:rsidRPr="009E5034" w:rsidRDefault="00F360CD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3B6993" w:rsidRPr="009E5034" w:rsidRDefault="003B6993" w:rsidP="005725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2B4" w:rsidRPr="009E5034" w:rsidRDefault="0075749D" w:rsidP="00C96AA0">
      <w:pPr>
        <w:autoSpaceDE w:val="0"/>
        <w:autoSpaceDN w:val="0"/>
        <w:adjustRightInd w:val="0"/>
        <w:jc w:val="both"/>
      </w:pPr>
      <w:r>
        <w:t xml:space="preserve">Установленный приказом Минздрава России от 19.03.2021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</w:t>
      </w:r>
      <w:r w:rsidRPr="009E5034">
        <w:t xml:space="preserve"> </w:t>
      </w:r>
      <w:r>
        <w:t>о</w:t>
      </w:r>
      <w:r w:rsidR="00C96AA0">
        <w:t>б</w:t>
      </w:r>
      <w:r w:rsidR="00E852B4" w:rsidRPr="009E5034">
        <w:t xml:space="preserve">ъем </w:t>
      </w:r>
      <w:r w:rsidR="00BD7D08">
        <w:t xml:space="preserve">ежемесячно </w:t>
      </w:r>
      <w:r>
        <w:t xml:space="preserve">проводимых </w:t>
      </w:r>
      <w:r w:rsidR="00E852B4" w:rsidRPr="009E5034">
        <w:t>медико-экономических экспертиз</w:t>
      </w:r>
      <w:r w:rsidR="00C96AA0">
        <w:t xml:space="preserve"> </w:t>
      </w:r>
      <w:r w:rsidRPr="009E5034">
        <w:t xml:space="preserve">от числа </w:t>
      </w:r>
      <w:r>
        <w:t xml:space="preserve">принятых к оплате </w:t>
      </w:r>
      <w:r w:rsidRPr="009E5034">
        <w:t xml:space="preserve"> случаев</w:t>
      </w:r>
      <w:r>
        <w:t xml:space="preserve"> оказания МП </w:t>
      </w:r>
      <w:r w:rsidR="00C96AA0">
        <w:t xml:space="preserve">в разрезе   условий оказания </w:t>
      </w:r>
      <w:r w:rsidR="00581B06" w:rsidRPr="009E5034">
        <w:t xml:space="preserve"> </w:t>
      </w:r>
      <w:r w:rsidR="00E852B4" w:rsidRPr="009E5034">
        <w:t xml:space="preserve"> страхов</w:t>
      </w:r>
      <w:r w:rsidR="00581B06" w:rsidRPr="009E5034">
        <w:t xml:space="preserve">ой </w:t>
      </w:r>
      <w:r w:rsidR="00E852B4" w:rsidRPr="009E5034">
        <w:t>медицинск</w:t>
      </w:r>
      <w:r w:rsidR="00581B06" w:rsidRPr="009E5034">
        <w:t>ой</w:t>
      </w:r>
      <w:r w:rsidR="00E852B4" w:rsidRPr="009E5034">
        <w:t xml:space="preserve"> организаци</w:t>
      </w:r>
      <w:r w:rsidR="00581B06" w:rsidRPr="009E5034">
        <w:t>ей</w:t>
      </w:r>
      <w:r>
        <w:t xml:space="preserve"> по итогам 202</w:t>
      </w:r>
      <w:r w:rsidR="00F360CD">
        <w:t>2</w:t>
      </w:r>
      <w:r>
        <w:t xml:space="preserve"> года выполнен</w:t>
      </w:r>
      <w:r w:rsidR="00E852B4" w:rsidRPr="009E5034">
        <w:t>.</w:t>
      </w:r>
      <w:r w:rsidR="004B0AC8" w:rsidRPr="009E5034">
        <w:t xml:space="preserve"> </w:t>
      </w:r>
    </w:p>
    <w:p w:rsidR="00F760FA" w:rsidRPr="009E5034" w:rsidRDefault="00F760FA" w:rsidP="005725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9E5034" w:rsidRDefault="008600AC" w:rsidP="0075749D">
      <w:pPr>
        <w:ind w:left="67" w:firstLine="720"/>
        <w:jc w:val="center"/>
        <w:rPr>
          <w:b/>
        </w:rPr>
      </w:pPr>
      <w:r w:rsidRPr="009E5034">
        <w:rPr>
          <w:b/>
        </w:rPr>
        <w:t>Результаты  экспертизы качества медицинской помощи</w:t>
      </w:r>
    </w:p>
    <w:p w:rsidR="00C312FD" w:rsidRPr="009E5034" w:rsidRDefault="00C312FD" w:rsidP="008600AC">
      <w:pPr>
        <w:ind w:left="67" w:firstLine="720"/>
        <w:rPr>
          <w:b/>
        </w:rPr>
      </w:pPr>
    </w:p>
    <w:p w:rsidR="00196E42" w:rsidRDefault="0075749D" w:rsidP="008731F4">
      <w:pPr>
        <w:ind w:left="68" w:firstLine="640"/>
        <w:jc w:val="both"/>
      </w:pPr>
      <w:r>
        <w:t>По итогам 202</w:t>
      </w:r>
      <w:r w:rsidR="00F306B0">
        <w:t>2</w:t>
      </w:r>
      <w:r>
        <w:t xml:space="preserve"> года </w:t>
      </w:r>
      <w:r w:rsidR="00C34338">
        <w:t xml:space="preserve">ТФОМС РК и </w:t>
      </w:r>
      <w:r>
        <w:t xml:space="preserve">СМО  </w:t>
      </w:r>
      <w:r w:rsidR="008600AC" w:rsidRPr="009E5034">
        <w:t>проведен</w:t>
      </w:r>
      <w:r w:rsidR="008731F4">
        <w:t>а</w:t>
      </w:r>
      <w:r w:rsidR="008600AC" w:rsidRPr="009E5034">
        <w:t xml:space="preserve"> экспертиза качества медицинской помощи</w:t>
      </w:r>
      <w:r w:rsidR="008731F4">
        <w:t xml:space="preserve"> </w:t>
      </w:r>
      <w:r w:rsidR="00C34338">
        <w:t xml:space="preserve"> </w:t>
      </w:r>
      <w:r w:rsidR="00714EDC">
        <w:t>9 156</w:t>
      </w:r>
      <w:r w:rsidR="00C34338">
        <w:t xml:space="preserve"> </w:t>
      </w:r>
      <w:r w:rsidR="008731F4">
        <w:t xml:space="preserve"> страховых случаев, что на</w:t>
      </w:r>
      <w:r w:rsidR="00C34338">
        <w:t xml:space="preserve"> 6</w:t>
      </w:r>
      <w:r w:rsidR="00714EDC">
        <w:t>313</w:t>
      </w:r>
      <w:r w:rsidR="008731F4">
        <w:t xml:space="preserve"> случаев </w:t>
      </w:r>
      <w:r w:rsidR="00C34338">
        <w:t>меньше</w:t>
      </w:r>
      <w:r w:rsidR="008731F4">
        <w:t>, чем в 202</w:t>
      </w:r>
      <w:r w:rsidR="00C34338">
        <w:t>1</w:t>
      </w:r>
      <w:r w:rsidR="008731F4">
        <w:t xml:space="preserve"> году </w:t>
      </w:r>
      <w:r w:rsidR="00873919" w:rsidRPr="009E5034">
        <w:t xml:space="preserve"> </w:t>
      </w:r>
      <w:r w:rsidR="00B12AE9" w:rsidRPr="009E5034">
        <w:t>(20</w:t>
      </w:r>
      <w:r>
        <w:t>2</w:t>
      </w:r>
      <w:r w:rsidR="00F306B0">
        <w:t>1</w:t>
      </w:r>
      <w:r w:rsidR="00B12AE9" w:rsidRPr="009E5034">
        <w:t xml:space="preserve">г. – </w:t>
      </w:r>
      <w:r w:rsidR="003052CC">
        <w:t>1</w:t>
      </w:r>
      <w:r w:rsidR="00F306B0">
        <w:t>5 469</w:t>
      </w:r>
      <w:r w:rsidR="00B12AE9" w:rsidRPr="009E5034">
        <w:t>)</w:t>
      </w:r>
      <w:r w:rsidR="008600AC" w:rsidRPr="009E5034">
        <w:t xml:space="preserve">. </w:t>
      </w:r>
      <w:r w:rsidR="008731F4">
        <w:t xml:space="preserve"> </w:t>
      </w:r>
      <w:r w:rsidR="001332A1">
        <w:t xml:space="preserve">СМО проведено </w:t>
      </w:r>
      <w:r w:rsidR="00714EDC">
        <w:t>9053</w:t>
      </w:r>
      <w:r w:rsidR="001332A1">
        <w:t xml:space="preserve">   или 98,</w:t>
      </w:r>
      <w:r w:rsidR="00714EDC">
        <w:t>9</w:t>
      </w:r>
      <w:r w:rsidR="001332A1">
        <w:t xml:space="preserve">  % от общего числа экспертиз, ТФОМС РК 103 или 1,</w:t>
      </w:r>
      <w:r w:rsidR="00714EDC">
        <w:t>1</w:t>
      </w:r>
      <w:r w:rsidR="001332A1">
        <w:t xml:space="preserve"> % от общего числа экспертиз. </w:t>
      </w:r>
      <w:r w:rsidR="008731F4">
        <w:t xml:space="preserve">Целевые </w:t>
      </w:r>
      <w:r w:rsidR="00C34338">
        <w:t xml:space="preserve">и внеплановые </w:t>
      </w:r>
      <w:r w:rsidR="008731F4">
        <w:t xml:space="preserve">ЭКМП составили </w:t>
      </w:r>
      <w:r w:rsidR="00C34338">
        <w:t xml:space="preserve"> 8737 </w:t>
      </w:r>
      <w:r w:rsidR="008731F4">
        <w:t xml:space="preserve"> или </w:t>
      </w:r>
      <w:r w:rsidR="00C34338">
        <w:t xml:space="preserve"> 9</w:t>
      </w:r>
      <w:r w:rsidR="00714EDC">
        <w:t>5,4</w:t>
      </w:r>
      <w:r w:rsidR="00C34338">
        <w:t xml:space="preserve"> </w:t>
      </w:r>
      <w:r w:rsidR="008731F4">
        <w:t xml:space="preserve"> % от общего числа экспертиз </w:t>
      </w:r>
      <w:r w:rsidR="00196E42">
        <w:t xml:space="preserve"> и по сравнению с 202</w:t>
      </w:r>
      <w:r w:rsidR="00C34338">
        <w:t xml:space="preserve">1 </w:t>
      </w:r>
      <w:r w:rsidR="001332A1">
        <w:t xml:space="preserve"> годом ув</w:t>
      </w:r>
      <w:r w:rsidR="00196E42">
        <w:t>е</w:t>
      </w:r>
      <w:r w:rsidR="001332A1">
        <w:t>личи</w:t>
      </w:r>
      <w:r w:rsidR="00196E42">
        <w:t>лись на</w:t>
      </w:r>
      <w:r w:rsidR="001332A1">
        <w:t xml:space="preserve"> 6 614 </w:t>
      </w:r>
      <w:r w:rsidR="00196E42">
        <w:t xml:space="preserve"> экспертиз или на </w:t>
      </w:r>
      <w:r w:rsidR="001332A1">
        <w:t xml:space="preserve">311,5 </w:t>
      </w:r>
      <w:r w:rsidR="00196E42">
        <w:t xml:space="preserve">%  </w:t>
      </w:r>
      <w:r w:rsidR="008731F4">
        <w:t>(в 202</w:t>
      </w:r>
      <w:r w:rsidR="00C34338">
        <w:t>1</w:t>
      </w:r>
      <w:r w:rsidR="008731F4">
        <w:t xml:space="preserve"> году </w:t>
      </w:r>
      <w:r w:rsidR="00C34338">
        <w:t xml:space="preserve">2 123 </w:t>
      </w:r>
      <w:r w:rsidR="008731F4">
        <w:t xml:space="preserve"> или </w:t>
      </w:r>
      <w:r w:rsidR="00C34338">
        <w:t xml:space="preserve">1,37 </w:t>
      </w:r>
      <w:r w:rsidR="008731F4">
        <w:t xml:space="preserve"> % от общего числа экспертиз).  </w:t>
      </w:r>
      <w:r w:rsidR="00196E42">
        <w:t xml:space="preserve">Основным поводом для проведения целевых </w:t>
      </w:r>
      <w:r w:rsidR="001332A1">
        <w:t xml:space="preserve">и внеплановых </w:t>
      </w:r>
      <w:r w:rsidR="00196E42">
        <w:t xml:space="preserve">ЭКМП в </w:t>
      </w:r>
      <w:r w:rsidR="001332A1">
        <w:t xml:space="preserve">1 594 </w:t>
      </w:r>
      <w:r w:rsidR="00196E42">
        <w:t xml:space="preserve"> случаях (или </w:t>
      </w:r>
      <w:r w:rsidR="001332A1">
        <w:t xml:space="preserve">18,2 </w:t>
      </w:r>
      <w:r w:rsidR="00196E42">
        <w:t xml:space="preserve"> % от числа целевых экспертиз)  послужило </w:t>
      </w:r>
      <w:r w:rsidR="00196E42" w:rsidRPr="00196E42">
        <w:t>выявление по результатам МЭЭ нарушений при оказании медицинской помощи по профилю "онкология"</w:t>
      </w:r>
      <w:r w:rsidR="00196E42">
        <w:t xml:space="preserve">; в </w:t>
      </w:r>
      <w:r w:rsidR="001332A1">
        <w:t xml:space="preserve"> 1435 </w:t>
      </w:r>
      <w:r w:rsidR="00196E42">
        <w:t xml:space="preserve"> случаях (или </w:t>
      </w:r>
      <w:r w:rsidR="001332A1">
        <w:t xml:space="preserve">16,4 </w:t>
      </w:r>
      <w:r w:rsidR="00196E42">
        <w:t xml:space="preserve"> % </w:t>
      </w:r>
      <w:r w:rsidR="00196E42" w:rsidRPr="00196E42">
        <w:t xml:space="preserve"> </w:t>
      </w:r>
      <w:r w:rsidR="00196E42">
        <w:t>от числа целевых экспертиз) – летальный исход.</w:t>
      </w:r>
    </w:p>
    <w:p w:rsidR="008600AC" w:rsidRDefault="008731F4" w:rsidP="008731F4">
      <w:pPr>
        <w:ind w:left="68" w:firstLine="640"/>
        <w:jc w:val="both"/>
      </w:pPr>
      <w:r>
        <w:t xml:space="preserve">Экспертизы КМП страховых случаев амбулаторной помощи составили 9 406 или 60,8 % от общего числа экспертиз; стационарной помощи составили 3 547 или 22,9 % от общего числа экспертиз; скорой МП 1779 или 11,5 % от общего числа экспертиз; стационарозамещающей помощи </w:t>
      </w:r>
      <w:r w:rsidR="00155D5D">
        <w:t xml:space="preserve">737 или 4,8 % от общего числа экспертиз. </w:t>
      </w:r>
      <w:r w:rsidR="008600AC" w:rsidRPr="009E5034">
        <w:t xml:space="preserve"> </w:t>
      </w:r>
    </w:p>
    <w:p w:rsidR="00945B8C" w:rsidRDefault="00945B8C" w:rsidP="00945B8C">
      <w:pPr>
        <w:jc w:val="center"/>
      </w:pPr>
    </w:p>
    <w:p w:rsidR="00945B8C" w:rsidRDefault="00945B8C" w:rsidP="00945B8C">
      <w:pPr>
        <w:jc w:val="center"/>
      </w:pPr>
      <w:r>
        <w:t>Сведения о выявленных нарушениях по результатам ЭКМП  в 202</w:t>
      </w:r>
      <w:r w:rsidR="006606C4">
        <w:t>2</w:t>
      </w:r>
      <w:r>
        <w:t xml:space="preserve"> году</w:t>
      </w:r>
    </w:p>
    <w:p w:rsidR="00945B8C" w:rsidRDefault="00945B8C" w:rsidP="00945B8C">
      <w:pPr>
        <w:jc w:val="right"/>
      </w:pPr>
      <w:r>
        <w:t>Таблица №</w:t>
      </w:r>
      <w:r w:rsidR="006606C4">
        <w:t>6</w:t>
      </w:r>
    </w:p>
    <w:tbl>
      <w:tblPr>
        <w:tblStyle w:val="a3"/>
        <w:tblW w:w="0" w:type="auto"/>
        <w:tblInd w:w="68" w:type="dxa"/>
        <w:tblLook w:val="04A0"/>
      </w:tblPr>
      <w:tblGrid>
        <w:gridCol w:w="1497"/>
        <w:gridCol w:w="1329"/>
        <w:gridCol w:w="1553"/>
        <w:gridCol w:w="1781"/>
        <w:gridCol w:w="1672"/>
        <w:gridCol w:w="1672"/>
      </w:tblGrid>
      <w:tr w:rsidR="00945B8C" w:rsidTr="006334BC">
        <w:tc>
          <w:tcPr>
            <w:tcW w:w="1497" w:type="dxa"/>
          </w:tcPr>
          <w:p w:rsidR="00945B8C" w:rsidRDefault="00945B8C" w:rsidP="006334BC">
            <w:pPr>
              <w:jc w:val="both"/>
            </w:pPr>
            <w:r>
              <w:t>показатель</w:t>
            </w:r>
          </w:p>
        </w:tc>
        <w:tc>
          <w:tcPr>
            <w:tcW w:w="1329" w:type="dxa"/>
          </w:tcPr>
          <w:p w:rsidR="00945B8C" w:rsidRDefault="00945B8C" w:rsidP="006334BC">
            <w:pPr>
              <w:jc w:val="both"/>
            </w:pPr>
            <w:r>
              <w:t>Всего:</w:t>
            </w:r>
          </w:p>
        </w:tc>
        <w:tc>
          <w:tcPr>
            <w:tcW w:w="1553" w:type="dxa"/>
          </w:tcPr>
          <w:p w:rsidR="00945B8C" w:rsidRDefault="00945B8C" w:rsidP="006334BC">
            <w:pPr>
              <w:jc w:val="both"/>
            </w:pPr>
            <w:r>
              <w:t>Скорая МП</w:t>
            </w:r>
          </w:p>
        </w:tc>
        <w:tc>
          <w:tcPr>
            <w:tcW w:w="1781" w:type="dxa"/>
          </w:tcPr>
          <w:p w:rsidR="00945B8C" w:rsidRDefault="00945B8C" w:rsidP="006334BC">
            <w:pPr>
              <w:jc w:val="both"/>
            </w:pPr>
            <w:r>
              <w:t>поликлиника</w:t>
            </w:r>
          </w:p>
        </w:tc>
        <w:tc>
          <w:tcPr>
            <w:tcW w:w="1672" w:type="dxa"/>
          </w:tcPr>
          <w:p w:rsidR="00945B8C" w:rsidRDefault="00945B8C" w:rsidP="006334BC">
            <w:pPr>
              <w:jc w:val="both"/>
            </w:pPr>
            <w:r>
              <w:t>Дневной стационар</w:t>
            </w:r>
          </w:p>
        </w:tc>
        <w:tc>
          <w:tcPr>
            <w:tcW w:w="1672" w:type="dxa"/>
          </w:tcPr>
          <w:p w:rsidR="00945B8C" w:rsidRDefault="00945B8C" w:rsidP="006334BC">
            <w:pPr>
              <w:jc w:val="both"/>
            </w:pPr>
            <w:r>
              <w:t>стационар</w:t>
            </w:r>
          </w:p>
        </w:tc>
      </w:tr>
      <w:tr w:rsidR="00945B8C" w:rsidTr="006334BC">
        <w:tc>
          <w:tcPr>
            <w:tcW w:w="1497" w:type="dxa"/>
          </w:tcPr>
          <w:p w:rsidR="00945B8C" w:rsidRDefault="00945B8C" w:rsidP="006334BC">
            <w:pPr>
              <w:jc w:val="both"/>
            </w:pPr>
            <w:r>
              <w:t>Проведено ЭКМП страховых случаев</w:t>
            </w:r>
          </w:p>
        </w:tc>
        <w:tc>
          <w:tcPr>
            <w:tcW w:w="1329" w:type="dxa"/>
          </w:tcPr>
          <w:p w:rsidR="00945B8C" w:rsidRDefault="00714EDC" w:rsidP="006334BC">
            <w:pPr>
              <w:jc w:val="center"/>
            </w:pPr>
            <w:r>
              <w:t>9156</w:t>
            </w:r>
          </w:p>
        </w:tc>
        <w:tc>
          <w:tcPr>
            <w:tcW w:w="1553" w:type="dxa"/>
          </w:tcPr>
          <w:p w:rsidR="00945B8C" w:rsidRDefault="00714EDC" w:rsidP="006334BC">
            <w:pPr>
              <w:jc w:val="center"/>
            </w:pPr>
            <w:r>
              <w:t>1434</w:t>
            </w:r>
          </w:p>
        </w:tc>
        <w:tc>
          <w:tcPr>
            <w:tcW w:w="1781" w:type="dxa"/>
          </w:tcPr>
          <w:p w:rsidR="00945B8C" w:rsidRDefault="00714EDC" w:rsidP="006334BC">
            <w:pPr>
              <w:jc w:val="center"/>
            </w:pPr>
            <w:r>
              <w:t>4308</w:t>
            </w:r>
          </w:p>
        </w:tc>
        <w:tc>
          <w:tcPr>
            <w:tcW w:w="1672" w:type="dxa"/>
          </w:tcPr>
          <w:p w:rsidR="00945B8C" w:rsidRDefault="00714EDC" w:rsidP="006334BC">
            <w:pPr>
              <w:jc w:val="center"/>
            </w:pPr>
            <w:r>
              <w:t>284</w:t>
            </w:r>
          </w:p>
        </w:tc>
        <w:tc>
          <w:tcPr>
            <w:tcW w:w="1672" w:type="dxa"/>
          </w:tcPr>
          <w:p w:rsidR="00945B8C" w:rsidRDefault="00714EDC" w:rsidP="006334BC">
            <w:pPr>
              <w:jc w:val="center"/>
            </w:pPr>
            <w:r>
              <w:t>3130</w:t>
            </w:r>
          </w:p>
        </w:tc>
      </w:tr>
      <w:tr w:rsidR="00945B8C" w:rsidTr="006334BC">
        <w:tc>
          <w:tcPr>
            <w:tcW w:w="1497" w:type="dxa"/>
          </w:tcPr>
          <w:p w:rsidR="00945B8C" w:rsidRDefault="00945B8C" w:rsidP="006334BC">
            <w:pPr>
              <w:jc w:val="both"/>
            </w:pPr>
            <w:r>
              <w:t>Выявлено нарушений</w:t>
            </w:r>
          </w:p>
        </w:tc>
        <w:tc>
          <w:tcPr>
            <w:tcW w:w="1329" w:type="dxa"/>
          </w:tcPr>
          <w:p w:rsidR="00945B8C" w:rsidRDefault="005E20D6" w:rsidP="006334BC">
            <w:pPr>
              <w:jc w:val="center"/>
            </w:pPr>
            <w:r>
              <w:t>3825</w:t>
            </w:r>
          </w:p>
        </w:tc>
        <w:tc>
          <w:tcPr>
            <w:tcW w:w="1553" w:type="dxa"/>
          </w:tcPr>
          <w:p w:rsidR="00945B8C" w:rsidRDefault="005E20D6" w:rsidP="006334BC">
            <w:pPr>
              <w:jc w:val="center"/>
            </w:pPr>
            <w:r>
              <w:t>142</w:t>
            </w:r>
          </w:p>
        </w:tc>
        <w:tc>
          <w:tcPr>
            <w:tcW w:w="1781" w:type="dxa"/>
          </w:tcPr>
          <w:p w:rsidR="00945B8C" w:rsidRDefault="005E20D6" w:rsidP="006334BC">
            <w:pPr>
              <w:jc w:val="center"/>
            </w:pPr>
            <w:r>
              <w:t>1762</w:t>
            </w:r>
          </w:p>
        </w:tc>
        <w:tc>
          <w:tcPr>
            <w:tcW w:w="1672" w:type="dxa"/>
          </w:tcPr>
          <w:p w:rsidR="00945B8C" w:rsidRDefault="005E20D6" w:rsidP="006334BC">
            <w:pPr>
              <w:jc w:val="center"/>
            </w:pPr>
            <w:r>
              <w:t>123</w:t>
            </w:r>
          </w:p>
        </w:tc>
        <w:tc>
          <w:tcPr>
            <w:tcW w:w="1672" w:type="dxa"/>
          </w:tcPr>
          <w:p w:rsidR="00945B8C" w:rsidRDefault="005E20D6" w:rsidP="006334BC">
            <w:pPr>
              <w:jc w:val="center"/>
            </w:pPr>
            <w:r>
              <w:t>1798</w:t>
            </w:r>
          </w:p>
        </w:tc>
      </w:tr>
      <w:tr w:rsidR="00C011E1" w:rsidTr="006334BC">
        <w:tc>
          <w:tcPr>
            <w:tcW w:w="1497" w:type="dxa"/>
          </w:tcPr>
          <w:p w:rsidR="00C011E1" w:rsidRDefault="00C011E1" w:rsidP="009A2D76">
            <w:pPr>
              <w:jc w:val="both"/>
            </w:pPr>
            <w:r>
              <w:t xml:space="preserve">Доля  случаев, содержащих </w:t>
            </w:r>
            <w:r>
              <w:lastRenderedPageBreak/>
              <w:t>нарушения (2022 год), %</w:t>
            </w:r>
          </w:p>
        </w:tc>
        <w:tc>
          <w:tcPr>
            <w:tcW w:w="1329" w:type="dxa"/>
          </w:tcPr>
          <w:p w:rsidR="00C011E1" w:rsidRDefault="00085576" w:rsidP="006334BC">
            <w:pPr>
              <w:jc w:val="center"/>
            </w:pPr>
            <w:r>
              <w:lastRenderedPageBreak/>
              <w:t>41,8</w:t>
            </w:r>
          </w:p>
        </w:tc>
        <w:tc>
          <w:tcPr>
            <w:tcW w:w="1553" w:type="dxa"/>
          </w:tcPr>
          <w:p w:rsidR="00C011E1" w:rsidRDefault="00085576" w:rsidP="006334BC">
            <w:pPr>
              <w:jc w:val="center"/>
            </w:pPr>
            <w:r>
              <w:t>9,9</w:t>
            </w:r>
          </w:p>
        </w:tc>
        <w:tc>
          <w:tcPr>
            <w:tcW w:w="1781" w:type="dxa"/>
          </w:tcPr>
          <w:p w:rsidR="00C011E1" w:rsidRDefault="00085576" w:rsidP="006334BC">
            <w:pPr>
              <w:jc w:val="center"/>
            </w:pPr>
            <w:r>
              <w:t>40,9</w:t>
            </w:r>
          </w:p>
        </w:tc>
        <w:tc>
          <w:tcPr>
            <w:tcW w:w="1672" w:type="dxa"/>
          </w:tcPr>
          <w:p w:rsidR="00C011E1" w:rsidRDefault="00085576" w:rsidP="006334BC">
            <w:pPr>
              <w:jc w:val="center"/>
            </w:pPr>
            <w:r>
              <w:t>43,3</w:t>
            </w:r>
          </w:p>
        </w:tc>
        <w:tc>
          <w:tcPr>
            <w:tcW w:w="1672" w:type="dxa"/>
          </w:tcPr>
          <w:p w:rsidR="00C011E1" w:rsidRDefault="00085576" w:rsidP="006334BC">
            <w:pPr>
              <w:jc w:val="center"/>
            </w:pPr>
            <w:r>
              <w:t>57,4</w:t>
            </w:r>
          </w:p>
        </w:tc>
      </w:tr>
      <w:tr w:rsidR="00C011E1" w:rsidTr="006334BC">
        <w:tc>
          <w:tcPr>
            <w:tcW w:w="1497" w:type="dxa"/>
          </w:tcPr>
          <w:p w:rsidR="00C011E1" w:rsidRDefault="00C011E1" w:rsidP="009A2D76">
            <w:pPr>
              <w:jc w:val="both"/>
            </w:pPr>
            <w:r>
              <w:lastRenderedPageBreak/>
              <w:t>Доля  случаев, содержащих нарушения (2021 год), %</w:t>
            </w:r>
          </w:p>
        </w:tc>
        <w:tc>
          <w:tcPr>
            <w:tcW w:w="1329" w:type="dxa"/>
          </w:tcPr>
          <w:p w:rsidR="00C011E1" w:rsidRDefault="00C011E1" w:rsidP="006334BC">
            <w:pPr>
              <w:jc w:val="center"/>
            </w:pPr>
            <w:r>
              <w:t>32,9</w:t>
            </w:r>
          </w:p>
        </w:tc>
        <w:tc>
          <w:tcPr>
            <w:tcW w:w="1553" w:type="dxa"/>
          </w:tcPr>
          <w:p w:rsidR="00C011E1" w:rsidRDefault="00C011E1" w:rsidP="006334BC">
            <w:pPr>
              <w:jc w:val="center"/>
            </w:pPr>
            <w:r>
              <w:t>20,7</w:t>
            </w:r>
          </w:p>
        </w:tc>
        <w:tc>
          <w:tcPr>
            <w:tcW w:w="1781" w:type="dxa"/>
          </w:tcPr>
          <w:p w:rsidR="00C011E1" w:rsidRDefault="00C011E1" w:rsidP="006334BC">
            <w:pPr>
              <w:jc w:val="center"/>
            </w:pPr>
            <w:r>
              <w:t>30,6</w:t>
            </w:r>
          </w:p>
        </w:tc>
        <w:tc>
          <w:tcPr>
            <w:tcW w:w="1672" w:type="dxa"/>
          </w:tcPr>
          <w:p w:rsidR="00C011E1" w:rsidRDefault="00C011E1" w:rsidP="006334BC">
            <w:pPr>
              <w:jc w:val="center"/>
            </w:pPr>
            <w:r>
              <w:t>35,5</w:t>
            </w:r>
          </w:p>
        </w:tc>
        <w:tc>
          <w:tcPr>
            <w:tcW w:w="1672" w:type="dxa"/>
          </w:tcPr>
          <w:p w:rsidR="00C011E1" w:rsidRDefault="00C011E1" w:rsidP="006334BC">
            <w:pPr>
              <w:jc w:val="center"/>
            </w:pPr>
            <w:r>
              <w:t>44,3</w:t>
            </w:r>
          </w:p>
        </w:tc>
      </w:tr>
    </w:tbl>
    <w:p w:rsidR="00945B8C" w:rsidRDefault="00945B8C" w:rsidP="00945B8C">
      <w:pPr>
        <w:ind w:left="68" w:firstLine="640"/>
        <w:jc w:val="both"/>
      </w:pPr>
    </w:p>
    <w:p w:rsidR="00085576" w:rsidRDefault="00945B8C" w:rsidP="00085576">
      <w:pPr>
        <w:ind w:left="68" w:firstLine="640"/>
        <w:jc w:val="both"/>
      </w:pPr>
      <w:r>
        <w:t xml:space="preserve">По результатам </w:t>
      </w:r>
      <w:r w:rsidR="00E4118F">
        <w:t xml:space="preserve">ЭКМП </w:t>
      </w:r>
      <w:r>
        <w:t xml:space="preserve"> выявлено </w:t>
      </w:r>
      <w:r w:rsidR="00085576">
        <w:t xml:space="preserve"> 3825</w:t>
      </w:r>
      <w:r>
        <w:t xml:space="preserve"> нарушений, или </w:t>
      </w:r>
      <w:r w:rsidR="00085576">
        <w:t xml:space="preserve">41,8 </w:t>
      </w:r>
      <w:r w:rsidR="00E4118F">
        <w:t xml:space="preserve"> </w:t>
      </w:r>
      <w:r>
        <w:t xml:space="preserve"> % страховых случаев, подвергнутых </w:t>
      </w:r>
      <w:r w:rsidR="00E4118F">
        <w:t>ЭКМП</w:t>
      </w:r>
      <w:r>
        <w:t xml:space="preserve">, содержат дефекты оказания МП. </w:t>
      </w:r>
      <w:r w:rsidR="00085576">
        <w:t xml:space="preserve">По сравнению с 2021 годом отмечена положительная динамика в виде уменьшения  числа  выявленных нарушений на  1256,  но при этом доля  случаев, содержащих дефекты, увеличилась с 44,2 % до 57,4 %. В разрезе условий оказания МП больше всего содержат нарушения случаи  оказания стационарной помощи в  57,4 % и стационарозамещающей  медицинской помощи в 43,3  %. </w:t>
      </w:r>
    </w:p>
    <w:p w:rsidR="008600AC" w:rsidRPr="009E5034" w:rsidRDefault="008600AC" w:rsidP="0086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9E5034" w:rsidRDefault="008600AC" w:rsidP="008600AC">
      <w:pPr>
        <w:jc w:val="center"/>
      </w:pPr>
      <w:r w:rsidRPr="009E5034">
        <w:t xml:space="preserve">Структура основных нарушений, выявленных по результатам экспертизы качества медицинской помощи в </w:t>
      </w:r>
      <w:r w:rsidR="00997FE2" w:rsidRPr="009E5034">
        <w:t>20</w:t>
      </w:r>
      <w:r w:rsidR="00846EE3">
        <w:t>2</w:t>
      </w:r>
      <w:r w:rsidR="00085576">
        <w:t>2</w:t>
      </w:r>
      <w:r w:rsidRPr="009E5034">
        <w:t>г.</w:t>
      </w:r>
    </w:p>
    <w:p w:rsidR="008600AC" w:rsidRPr="009E5034" w:rsidRDefault="008600AC" w:rsidP="008600AC">
      <w:pPr>
        <w:jc w:val="center"/>
      </w:pP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606C4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747" w:type="dxa"/>
        <w:tblLayout w:type="fixed"/>
        <w:tblLook w:val="04A0"/>
      </w:tblPr>
      <w:tblGrid>
        <w:gridCol w:w="4219"/>
        <w:gridCol w:w="1418"/>
        <w:gridCol w:w="1417"/>
        <w:gridCol w:w="1276"/>
        <w:gridCol w:w="1417"/>
      </w:tblGrid>
      <w:tr w:rsidR="00085576" w:rsidRPr="009E5034" w:rsidTr="00920E78">
        <w:tc>
          <w:tcPr>
            <w:tcW w:w="4219" w:type="dxa"/>
            <w:vMerge w:val="restart"/>
          </w:tcPr>
          <w:p w:rsidR="00085576" w:rsidRDefault="00085576" w:rsidP="009A2D76"/>
          <w:p w:rsidR="00085576" w:rsidRPr="009E5034" w:rsidRDefault="00085576" w:rsidP="009A2D76">
            <w:r>
              <w:t>Дефекты оказания МП</w:t>
            </w:r>
          </w:p>
        </w:tc>
        <w:tc>
          <w:tcPr>
            <w:tcW w:w="5528" w:type="dxa"/>
            <w:gridSpan w:val="4"/>
          </w:tcPr>
          <w:p w:rsidR="00085576" w:rsidRPr="009E5034" w:rsidRDefault="00085576" w:rsidP="009A2D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выявленных нарушений</w:t>
            </w:r>
          </w:p>
        </w:tc>
      </w:tr>
      <w:tr w:rsidR="00085576" w:rsidRPr="009E5034" w:rsidTr="00085576">
        <w:tc>
          <w:tcPr>
            <w:tcW w:w="4219" w:type="dxa"/>
            <w:vMerge/>
          </w:tcPr>
          <w:p w:rsidR="00085576" w:rsidRPr="009E5034" w:rsidRDefault="00085576" w:rsidP="00A3218F">
            <w:pPr>
              <w:jc w:val="center"/>
            </w:pPr>
          </w:p>
        </w:tc>
        <w:tc>
          <w:tcPr>
            <w:tcW w:w="1418" w:type="dxa"/>
          </w:tcPr>
          <w:p w:rsidR="00085576" w:rsidRPr="009E5034" w:rsidRDefault="00085576" w:rsidP="00CB6353">
            <w:pPr>
              <w:jc w:val="center"/>
              <w:rPr>
                <w:color w:val="000000"/>
              </w:rPr>
            </w:pPr>
            <w:r>
              <w:t>2022 год (абс. знач.)</w:t>
            </w:r>
          </w:p>
        </w:tc>
        <w:tc>
          <w:tcPr>
            <w:tcW w:w="1417" w:type="dxa"/>
          </w:tcPr>
          <w:p w:rsidR="00085576" w:rsidRPr="009E5034" w:rsidRDefault="00085576" w:rsidP="00CB6353">
            <w:pPr>
              <w:jc w:val="center"/>
              <w:rPr>
                <w:color w:val="000000"/>
              </w:rPr>
            </w:pPr>
            <w:r>
              <w:t>2021 год (абс.знач.)</w:t>
            </w:r>
          </w:p>
        </w:tc>
        <w:tc>
          <w:tcPr>
            <w:tcW w:w="1276" w:type="dxa"/>
          </w:tcPr>
          <w:p w:rsidR="00085576" w:rsidRPr="009E5034" w:rsidRDefault="00085576" w:rsidP="00CB63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Динамика </w:t>
            </w:r>
          </w:p>
        </w:tc>
        <w:tc>
          <w:tcPr>
            <w:tcW w:w="1417" w:type="dxa"/>
          </w:tcPr>
          <w:p w:rsidR="00085576" w:rsidRPr="009E5034" w:rsidRDefault="00085576" w:rsidP="00CB63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t>Удельный вес</w:t>
            </w:r>
            <w:r>
              <w:t xml:space="preserve"> (2022г.)</w:t>
            </w:r>
            <w:r w:rsidRPr="009E5034">
              <w:t>, %</w:t>
            </w: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CB6353">
            <w:r w:rsidRPr="009E5034">
              <w:t>нарушение условий оказания мед. помощи</w:t>
            </w:r>
          </w:p>
        </w:tc>
        <w:tc>
          <w:tcPr>
            <w:tcW w:w="1418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</w:tr>
      <w:tr w:rsidR="00085576" w:rsidRPr="009E5034" w:rsidTr="00085576">
        <w:trPr>
          <w:trHeight w:val="259"/>
        </w:trPr>
        <w:tc>
          <w:tcPr>
            <w:tcW w:w="4219" w:type="dxa"/>
          </w:tcPr>
          <w:p w:rsidR="00085576" w:rsidRPr="009E5034" w:rsidRDefault="00085576" w:rsidP="00CB6353">
            <w:r w:rsidRPr="009E5034">
              <w:t>непрофильная госпитализация</w:t>
            </w:r>
          </w:p>
        </w:tc>
        <w:tc>
          <w:tcPr>
            <w:tcW w:w="1418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1417" w:type="dxa"/>
          </w:tcPr>
          <w:p w:rsidR="00085576" w:rsidRPr="00435DDA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CB6353">
            <w:r w:rsidRPr="009E5034">
              <w:t>невыполнение консультаций/консилиумов работников НМИЦ</w:t>
            </w:r>
          </w:p>
        </w:tc>
        <w:tc>
          <w:tcPr>
            <w:tcW w:w="1418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85576" w:rsidRPr="00435DDA" w:rsidRDefault="00C12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085576" w:rsidRPr="00435DDA" w:rsidRDefault="00C12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CB6353">
            <w:r w:rsidRPr="009E5034">
              <w:t>невключение ЗЛ в группу диспансерного наблюдения</w:t>
            </w:r>
          </w:p>
        </w:tc>
        <w:tc>
          <w:tcPr>
            <w:tcW w:w="1418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85576" w:rsidRPr="00435DDA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5576" w:rsidRPr="00435DDA" w:rsidRDefault="00085576">
            <w:pPr>
              <w:jc w:val="center"/>
              <w:rPr>
                <w:color w:val="000000"/>
              </w:rPr>
            </w:pP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CB6353">
            <w:r w:rsidRPr="009E5034">
              <w:t>несоблюдение клинических рекомендаций, порядков оказания медицинской помощи, стандартов медицинской помощи</w:t>
            </w:r>
          </w:p>
        </w:tc>
        <w:tc>
          <w:tcPr>
            <w:tcW w:w="1418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2780</w:t>
            </w: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3351</w:t>
            </w:r>
          </w:p>
        </w:tc>
        <w:tc>
          <w:tcPr>
            <w:tcW w:w="1276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-571</w:t>
            </w:r>
          </w:p>
        </w:tc>
        <w:tc>
          <w:tcPr>
            <w:tcW w:w="1417" w:type="dxa"/>
          </w:tcPr>
          <w:p w:rsidR="00085576" w:rsidRPr="00435DDA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997FE2">
            <w:r w:rsidRPr="009E5034">
              <w:t>преждевременное с клинической точки зрения прекращение проведения лечебных мероприятий</w:t>
            </w:r>
          </w:p>
        </w:tc>
        <w:tc>
          <w:tcPr>
            <w:tcW w:w="1418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1417" w:type="dxa"/>
          </w:tcPr>
          <w:p w:rsidR="00085576" w:rsidRPr="00435DDA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CB6353">
            <w:r w:rsidRPr="009E5034">
              <w:t>нарушение по вине медицинской организации преемственности в лечении</w:t>
            </w:r>
          </w:p>
        </w:tc>
        <w:tc>
          <w:tcPr>
            <w:tcW w:w="1418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85576" w:rsidRPr="00435DDA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417" w:type="dxa"/>
          </w:tcPr>
          <w:p w:rsidR="00085576" w:rsidRPr="00435DDA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CB6353">
            <w:r w:rsidRPr="009E5034">
              <w:t>необоснованный отказ ЗЛ в оказании медицинской помощи</w:t>
            </w:r>
          </w:p>
        </w:tc>
        <w:tc>
          <w:tcPr>
            <w:tcW w:w="1418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85576" w:rsidRPr="00435DDA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5576" w:rsidRPr="00435DDA" w:rsidRDefault="00085576">
            <w:pPr>
              <w:jc w:val="center"/>
              <w:rPr>
                <w:color w:val="000000"/>
              </w:rPr>
            </w:pP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CB6353">
            <w:r w:rsidRPr="009E5034">
              <w:t>взимание платы с застрахованных лиц за медицинскую помощь</w:t>
            </w:r>
          </w:p>
        </w:tc>
        <w:tc>
          <w:tcPr>
            <w:tcW w:w="1418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85576" w:rsidRPr="00435DDA" w:rsidRDefault="0008557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5576" w:rsidRPr="00435DDA" w:rsidRDefault="00085576">
            <w:pPr>
              <w:jc w:val="center"/>
              <w:rPr>
                <w:color w:val="000000"/>
              </w:rPr>
            </w:pP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CB6353">
            <w:pPr>
              <w:pStyle w:val="20"/>
              <w:spacing w:line="240" w:lineRule="auto"/>
              <w:jc w:val="both"/>
            </w:pPr>
            <w:r w:rsidRPr="009E5034">
              <w:t>прочие нарушения в соответствии с Перечнем</w:t>
            </w:r>
          </w:p>
        </w:tc>
        <w:tc>
          <w:tcPr>
            <w:tcW w:w="1418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</w:t>
            </w:r>
          </w:p>
        </w:tc>
        <w:tc>
          <w:tcPr>
            <w:tcW w:w="1276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-838</w:t>
            </w:r>
          </w:p>
        </w:tc>
        <w:tc>
          <w:tcPr>
            <w:tcW w:w="1417" w:type="dxa"/>
          </w:tcPr>
          <w:p w:rsidR="00085576" w:rsidRPr="00435DDA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085576" w:rsidRPr="009E5034" w:rsidTr="00085576">
        <w:tc>
          <w:tcPr>
            <w:tcW w:w="4219" w:type="dxa"/>
          </w:tcPr>
          <w:p w:rsidR="00085576" w:rsidRPr="009E5034" w:rsidRDefault="00085576" w:rsidP="00CB6353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1418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3825</w:t>
            </w: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5081</w:t>
            </w:r>
          </w:p>
        </w:tc>
        <w:tc>
          <w:tcPr>
            <w:tcW w:w="1276" w:type="dxa"/>
          </w:tcPr>
          <w:p w:rsidR="00085576" w:rsidRDefault="0023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-1256</w:t>
            </w:r>
          </w:p>
        </w:tc>
        <w:tc>
          <w:tcPr>
            <w:tcW w:w="1417" w:type="dxa"/>
          </w:tcPr>
          <w:p w:rsidR="00085576" w:rsidRDefault="00085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8600AC" w:rsidRPr="009E5034" w:rsidRDefault="008600AC" w:rsidP="008600AC">
      <w:pPr>
        <w:jc w:val="center"/>
      </w:pPr>
    </w:p>
    <w:p w:rsidR="00CF2A4C" w:rsidRDefault="00C12F74" w:rsidP="008600AC">
      <w:pPr>
        <w:jc w:val="both"/>
      </w:pPr>
      <w:r>
        <w:lastRenderedPageBreak/>
        <w:t>С</w:t>
      </w:r>
      <w:r w:rsidR="00A3218F">
        <w:t>труктура выявленных нарушений не изменилась, как и по итогам 202</w:t>
      </w:r>
      <w:r>
        <w:t>1</w:t>
      </w:r>
      <w:r w:rsidR="00A3218F">
        <w:t xml:space="preserve"> года, </w:t>
      </w:r>
      <w:r w:rsidR="00864960" w:rsidRPr="009E5034">
        <w:t xml:space="preserve"> преобладают нарушения, связанные с  </w:t>
      </w:r>
      <w:r w:rsidR="008600AC" w:rsidRPr="009E5034">
        <w:t xml:space="preserve">  </w:t>
      </w:r>
      <w:r w:rsidR="00864960" w:rsidRPr="009E5034">
        <w:t xml:space="preserve">несоблюдением клинических рекомендаций, порядков оказания медицинской помощи, стандартов медицинской помощи – </w:t>
      </w:r>
      <w:r>
        <w:t>2780</w:t>
      </w:r>
      <w:r w:rsidR="00A3218F">
        <w:t xml:space="preserve"> нарушений или </w:t>
      </w:r>
      <w:r>
        <w:t xml:space="preserve">72,7 </w:t>
      </w:r>
      <w:r w:rsidR="00A3218F">
        <w:t xml:space="preserve"> </w:t>
      </w:r>
      <w:r w:rsidR="00864960" w:rsidRPr="009E5034">
        <w:t>%</w:t>
      </w:r>
      <w:r w:rsidR="00A3218F">
        <w:t xml:space="preserve"> от числа выявленных нарушений (в 2020 году </w:t>
      </w:r>
      <w:r>
        <w:t xml:space="preserve">3351 </w:t>
      </w:r>
      <w:r w:rsidR="00A3218F">
        <w:t xml:space="preserve"> нарушений или 65,</w:t>
      </w:r>
      <w:r>
        <w:t>95</w:t>
      </w:r>
      <w:r w:rsidR="00A3218F">
        <w:t xml:space="preserve">% от числа выявленных нарушений) и прочие нарушения в соответствии с Перечнем оснований для уменьшения в оплате МП – </w:t>
      </w:r>
      <w:r>
        <w:t>865</w:t>
      </w:r>
      <w:r w:rsidR="00A3218F">
        <w:t xml:space="preserve"> или </w:t>
      </w:r>
      <w:r>
        <w:t>22,6</w:t>
      </w:r>
      <w:r w:rsidR="00A3218F">
        <w:t xml:space="preserve"> % от числа выявленных нарушений (в 202</w:t>
      </w:r>
      <w:r>
        <w:t>1</w:t>
      </w:r>
      <w:r w:rsidR="00A3218F">
        <w:t xml:space="preserve"> году – </w:t>
      </w:r>
      <w:r>
        <w:t>1703</w:t>
      </w:r>
      <w:r w:rsidR="00A3218F">
        <w:t xml:space="preserve"> или 33,5 % числа выявленных нарушений)</w:t>
      </w:r>
      <w:r w:rsidR="00864960" w:rsidRPr="009E5034">
        <w:t>.</w:t>
      </w:r>
      <w:r w:rsidR="00A3218F">
        <w:t xml:space="preserve"> Нарушения связанные с </w:t>
      </w:r>
      <w:r w:rsidR="00A3218F" w:rsidRPr="009E5034">
        <w:t>преждевременным с клинической точки зрения прекращением проведения лечебных мероприятий</w:t>
      </w:r>
      <w:r w:rsidR="00A3218F">
        <w:t xml:space="preserve"> составили 0,</w:t>
      </w:r>
      <w:r>
        <w:t>3</w:t>
      </w:r>
      <w:r w:rsidR="00A3218F">
        <w:t xml:space="preserve"> % от </w:t>
      </w:r>
      <w:r w:rsidR="00CF2A4C">
        <w:t>числа выявленных нарушений (в 202</w:t>
      </w:r>
      <w:r>
        <w:t>1</w:t>
      </w:r>
      <w:r w:rsidR="00CF2A4C">
        <w:t xml:space="preserve"> году – 0,</w:t>
      </w:r>
      <w:r>
        <w:t>47</w:t>
      </w:r>
      <w:r w:rsidR="00CF2A4C">
        <w:t xml:space="preserve"> %), и  </w:t>
      </w:r>
      <w:r w:rsidR="00864960" w:rsidRPr="009E5034">
        <w:t>с непрофильной госпитализацией</w:t>
      </w:r>
      <w:r w:rsidR="00CF2A4C">
        <w:t xml:space="preserve"> – 0,0</w:t>
      </w:r>
      <w:r>
        <w:t>3</w:t>
      </w:r>
      <w:r w:rsidR="00CF2A4C">
        <w:t xml:space="preserve"> % (202</w:t>
      </w:r>
      <w:r>
        <w:t>1</w:t>
      </w:r>
      <w:r w:rsidR="00CF2A4C">
        <w:t xml:space="preserve"> году – 0,</w:t>
      </w:r>
      <w:r>
        <w:t>06</w:t>
      </w:r>
      <w:r w:rsidR="00CF2A4C">
        <w:t xml:space="preserve"> </w:t>
      </w:r>
      <w:r w:rsidR="00435DDA">
        <w:t>%</w:t>
      </w:r>
      <w:r w:rsidR="00CF2A4C">
        <w:t>).</w:t>
      </w:r>
    </w:p>
    <w:p w:rsidR="00864960" w:rsidRPr="009E5034" w:rsidRDefault="00864960" w:rsidP="008600AC">
      <w:pPr>
        <w:jc w:val="both"/>
      </w:pPr>
    </w:p>
    <w:p w:rsidR="00296812" w:rsidRPr="009E5034" w:rsidRDefault="00296812" w:rsidP="008600AC">
      <w:pPr>
        <w:jc w:val="both"/>
      </w:pPr>
    </w:p>
    <w:p w:rsidR="008600AC" w:rsidRPr="009E5034" w:rsidRDefault="00F65316" w:rsidP="008600AC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>Выполнение страхов</w:t>
      </w:r>
      <w:r w:rsidR="004F7180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4F7180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F7180" w:rsidRPr="009E5034">
        <w:rPr>
          <w:rFonts w:ascii="Times New Roman" w:hAnsi="Times New Roman" w:cs="Times New Roman"/>
          <w:sz w:val="24"/>
          <w:szCs w:val="24"/>
        </w:rPr>
        <w:t>ей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</w:t>
      </w:r>
      <w:r w:rsidR="007F2E03" w:rsidRPr="009E5034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9E5034">
        <w:rPr>
          <w:rFonts w:ascii="Times New Roman" w:hAnsi="Times New Roman" w:cs="Times New Roman"/>
          <w:sz w:val="24"/>
          <w:szCs w:val="24"/>
        </w:rPr>
        <w:t>объема экспертиз</w:t>
      </w:r>
      <w:r w:rsidR="00A74A00" w:rsidRPr="009E5034">
        <w:rPr>
          <w:rFonts w:ascii="Times New Roman" w:hAnsi="Times New Roman" w:cs="Times New Roman"/>
          <w:sz w:val="24"/>
          <w:szCs w:val="24"/>
        </w:rPr>
        <w:t xml:space="preserve"> качества медицинской помощи</w:t>
      </w:r>
      <w:r w:rsidR="008600AC" w:rsidRPr="009E5034">
        <w:rPr>
          <w:rFonts w:ascii="Times New Roman" w:hAnsi="Times New Roman" w:cs="Times New Roman"/>
          <w:sz w:val="24"/>
          <w:szCs w:val="24"/>
        </w:rPr>
        <w:t xml:space="preserve"> в 20</w:t>
      </w:r>
      <w:r w:rsidR="00435DDA">
        <w:rPr>
          <w:rFonts w:ascii="Times New Roman" w:hAnsi="Times New Roman" w:cs="Times New Roman"/>
          <w:sz w:val="24"/>
          <w:szCs w:val="24"/>
        </w:rPr>
        <w:t>2</w:t>
      </w:r>
      <w:r w:rsidR="00C12F74">
        <w:rPr>
          <w:rFonts w:ascii="Times New Roman" w:hAnsi="Times New Roman" w:cs="Times New Roman"/>
          <w:sz w:val="24"/>
          <w:szCs w:val="24"/>
        </w:rPr>
        <w:t>2</w:t>
      </w:r>
      <w:r w:rsidR="00CF2A4C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 Таблица № </w:t>
      </w:r>
      <w:r w:rsidR="00C12F74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1418"/>
        <w:gridCol w:w="1417"/>
        <w:gridCol w:w="1560"/>
        <w:gridCol w:w="1417"/>
      </w:tblGrid>
      <w:tr w:rsidR="00E65E2F" w:rsidRPr="009E5034" w:rsidTr="00F65316">
        <w:tc>
          <w:tcPr>
            <w:tcW w:w="3510" w:type="dxa"/>
          </w:tcPr>
          <w:p w:rsidR="00495E9A" w:rsidRDefault="00495E9A" w:rsidP="0049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E2F" w:rsidRPr="00495E9A" w:rsidRDefault="00E65E2F" w:rsidP="0049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A">
              <w:rPr>
                <w:rFonts w:ascii="Times New Roman" w:hAnsi="Times New Roman" w:cs="Times New Roman"/>
                <w:sz w:val="24"/>
                <w:szCs w:val="24"/>
              </w:rPr>
              <w:t>Условия медицинской помощи</w:t>
            </w:r>
          </w:p>
        </w:tc>
        <w:tc>
          <w:tcPr>
            <w:tcW w:w="1418" w:type="dxa"/>
          </w:tcPr>
          <w:p w:rsidR="00E65E2F" w:rsidRPr="009E5034" w:rsidRDefault="00E65E2F" w:rsidP="00F65316">
            <w:pPr>
              <w:jc w:val="center"/>
            </w:pPr>
            <w:r w:rsidRPr="009E5034">
              <w:t>Количество принятых счетов</w:t>
            </w:r>
          </w:p>
        </w:tc>
        <w:tc>
          <w:tcPr>
            <w:tcW w:w="1417" w:type="dxa"/>
          </w:tcPr>
          <w:p w:rsidR="00E65E2F" w:rsidRPr="009E5034" w:rsidRDefault="00E65E2F" w:rsidP="00FF3A6F">
            <w:pPr>
              <w:jc w:val="center"/>
            </w:pPr>
            <w:r w:rsidRPr="009E5034">
              <w:t>Количество ЭКМП</w:t>
            </w:r>
          </w:p>
        </w:tc>
        <w:tc>
          <w:tcPr>
            <w:tcW w:w="1560" w:type="dxa"/>
          </w:tcPr>
          <w:p w:rsidR="00E65E2F" w:rsidRPr="009E5034" w:rsidRDefault="00E65E2F" w:rsidP="006334BC">
            <w:pPr>
              <w:jc w:val="center"/>
            </w:pPr>
            <w:r w:rsidRPr="009E5034">
              <w:t>Норматив</w:t>
            </w:r>
            <w:r>
              <w:t>, установленный приказом МЗ РФ №</w:t>
            </w:r>
            <w:r w:rsidRPr="009E5034">
              <w:t xml:space="preserve"> </w:t>
            </w:r>
            <w:r>
              <w:t>231н, %</w:t>
            </w:r>
          </w:p>
        </w:tc>
        <w:tc>
          <w:tcPr>
            <w:tcW w:w="1417" w:type="dxa"/>
          </w:tcPr>
          <w:p w:rsidR="00E65E2F" w:rsidRPr="009E5034" w:rsidRDefault="00E65E2F" w:rsidP="006334BC">
            <w:pPr>
              <w:jc w:val="center"/>
            </w:pPr>
            <w:r>
              <w:t>В</w:t>
            </w:r>
            <w:r w:rsidRPr="009E5034">
              <w:t>ыполнени</w:t>
            </w:r>
            <w:r>
              <w:t>е норматива, %</w:t>
            </w:r>
          </w:p>
        </w:tc>
      </w:tr>
      <w:tr w:rsidR="00C12F74" w:rsidRPr="009E5034" w:rsidTr="00F65316">
        <w:tc>
          <w:tcPr>
            <w:tcW w:w="3510" w:type="dxa"/>
          </w:tcPr>
          <w:p w:rsidR="00C12F74" w:rsidRPr="009E5034" w:rsidRDefault="00C12F74" w:rsidP="00F65316">
            <w:r w:rsidRPr="009E5034">
              <w:t>Амбулаторно-поликлиническая медицинская помощь</w:t>
            </w:r>
          </w:p>
        </w:tc>
        <w:tc>
          <w:tcPr>
            <w:tcW w:w="1418" w:type="dxa"/>
          </w:tcPr>
          <w:p w:rsidR="00C12F74" w:rsidRPr="009E5034" w:rsidRDefault="00C12F74" w:rsidP="009A2D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1200990</w:t>
            </w:r>
          </w:p>
        </w:tc>
        <w:tc>
          <w:tcPr>
            <w:tcW w:w="1417" w:type="dxa"/>
          </w:tcPr>
          <w:p w:rsidR="00C12F74" w:rsidRPr="009E5034" w:rsidRDefault="00032E55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</w:t>
            </w:r>
          </w:p>
        </w:tc>
        <w:tc>
          <w:tcPr>
            <w:tcW w:w="1560" w:type="dxa"/>
          </w:tcPr>
          <w:p w:rsidR="00C12F74" w:rsidRPr="009E5034" w:rsidRDefault="00C12F74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C12F74" w:rsidRPr="009E5034" w:rsidRDefault="00032E55" w:rsidP="00AF6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C12F74" w:rsidRPr="009E5034" w:rsidTr="00F65316">
        <w:tc>
          <w:tcPr>
            <w:tcW w:w="3510" w:type="dxa"/>
          </w:tcPr>
          <w:p w:rsidR="00C12F74" w:rsidRPr="009E5034" w:rsidRDefault="00C12F74" w:rsidP="00F65316">
            <w:r w:rsidRPr="009E5034">
              <w:t>Стационарная медицинская помощь</w:t>
            </w:r>
          </w:p>
        </w:tc>
        <w:tc>
          <w:tcPr>
            <w:tcW w:w="1418" w:type="dxa"/>
          </w:tcPr>
          <w:p w:rsidR="00C12F74" w:rsidRPr="009E5034" w:rsidRDefault="00C12F74" w:rsidP="009A2D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33829</w:t>
            </w:r>
          </w:p>
        </w:tc>
        <w:tc>
          <w:tcPr>
            <w:tcW w:w="1417" w:type="dxa"/>
          </w:tcPr>
          <w:p w:rsidR="00C12F74" w:rsidRPr="009E5034" w:rsidRDefault="00032E55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1560" w:type="dxa"/>
          </w:tcPr>
          <w:p w:rsidR="00C12F74" w:rsidRPr="009E5034" w:rsidRDefault="00C12F74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C12F74" w:rsidRPr="009E5034" w:rsidRDefault="00032E55" w:rsidP="00AF6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C12F74" w:rsidRPr="009E5034" w:rsidTr="00F65316">
        <w:tc>
          <w:tcPr>
            <w:tcW w:w="3510" w:type="dxa"/>
          </w:tcPr>
          <w:p w:rsidR="00C12F74" w:rsidRPr="009E5034" w:rsidRDefault="00C12F74" w:rsidP="00F65316">
            <w:r w:rsidRPr="009E5034">
              <w:t>Стационарозамещающая медицинская помощь</w:t>
            </w:r>
          </w:p>
        </w:tc>
        <w:tc>
          <w:tcPr>
            <w:tcW w:w="1418" w:type="dxa"/>
          </w:tcPr>
          <w:p w:rsidR="00C12F74" w:rsidRPr="009E5034" w:rsidRDefault="00C12F74" w:rsidP="009A2D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12989</w:t>
            </w:r>
          </w:p>
        </w:tc>
        <w:tc>
          <w:tcPr>
            <w:tcW w:w="1417" w:type="dxa"/>
          </w:tcPr>
          <w:p w:rsidR="00C12F74" w:rsidRPr="009E5034" w:rsidRDefault="00032E55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</w:tcPr>
          <w:p w:rsidR="00C12F74" w:rsidRPr="009E5034" w:rsidRDefault="00C12F74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C12F74" w:rsidRPr="009E5034" w:rsidRDefault="00032E55" w:rsidP="00AF6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C12F74" w:rsidRPr="009E5034" w:rsidTr="00F65316">
        <w:tc>
          <w:tcPr>
            <w:tcW w:w="3510" w:type="dxa"/>
          </w:tcPr>
          <w:p w:rsidR="00C12F74" w:rsidRPr="009E5034" w:rsidRDefault="00C12F74" w:rsidP="00F65316">
            <w:r w:rsidRPr="009E5034">
              <w:t>Скорая медицинская помощь вне медицинской организации</w:t>
            </w:r>
          </w:p>
        </w:tc>
        <w:tc>
          <w:tcPr>
            <w:tcW w:w="1418" w:type="dxa"/>
          </w:tcPr>
          <w:p w:rsidR="00C12F74" w:rsidRPr="009E5034" w:rsidRDefault="00C12F74" w:rsidP="009A2D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77656</w:t>
            </w:r>
          </w:p>
        </w:tc>
        <w:tc>
          <w:tcPr>
            <w:tcW w:w="1417" w:type="dxa"/>
          </w:tcPr>
          <w:p w:rsidR="00C12F74" w:rsidRPr="009E5034" w:rsidRDefault="00032E55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560" w:type="dxa"/>
          </w:tcPr>
          <w:p w:rsidR="00C12F74" w:rsidRPr="009E5034" w:rsidRDefault="00C12F74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12F74" w:rsidRPr="009E5034" w:rsidRDefault="00032E55" w:rsidP="00AF6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</w:tbl>
    <w:p w:rsidR="00BD7D08" w:rsidRDefault="00BD7D08" w:rsidP="00BD7D08">
      <w:pPr>
        <w:autoSpaceDE w:val="0"/>
        <w:autoSpaceDN w:val="0"/>
        <w:adjustRightInd w:val="0"/>
        <w:jc w:val="both"/>
      </w:pPr>
    </w:p>
    <w:p w:rsidR="00BD7D08" w:rsidRPr="009E5034" w:rsidRDefault="00BD7D08" w:rsidP="00BD7D08">
      <w:pPr>
        <w:autoSpaceDE w:val="0"/>
        <w:autoSpaceDN w:val="0"/>
        <w:adjustRightInd w:val="0"/>
        <w:jc w:val="both"/>
      </w:pPr>
      <w:r>
        <w:t xml:space="preserve">Установленный приказом Минздрава России от 19.03.2021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</w:t>
      </w:r>
      <w:r w:rsidRPr="009E5034">
        <w:t xml:space="preserve"> </w:t>
      </w:r>
      <w:r>
        <w:t>об</w:t>
      </w:r>
      <w:r w:rsidRPr="009E5034">
        <w:t xml:space="preserve">ъем </w:t>
      </w:r>
      <w:r>
        <w:t xml:space="preserve">ежемесячно проводимых </w:t>
      </w:r>
      <w:r w:rsidRPr="009E5034">
        <w:t xml:space="preserve"> экспертиз</w:t>
      </w:r>
      <w:r>
        <w:t xml:space="preserve"> КМП </w:t>
      </w:r>
      <w:r w:rsidRPr="009E5034">
        <w:t xml:space="preserve">от числа </w:t>
      </w:r>
      <w:r>
        <w:t xml:space="preserve">принятых к оплате </w:t>
      </w:r>
      <w:r w:rsidRPr="009E5034">
        <w:t xml:space="preserve"> случаев</w:t>
      </w:r>
      <w:r>
        <w:t xml:space="preserve"> оказания МП в разрезе   условий оказания </w:t>
      </w:r>
      <w:r w:rsidRPr="009E5034">
        <w:t xml:space="preserve">  страховой медицинской организацией</w:t>
      </w:r>
      <w:r>
        <w:t xml:space="preserve"> по итогам 202</w:t>
      </w:r>
      <w:r w:rsidR="00032E55">
        <w:t>2</w:t>
      </w:r>
      <w:r>
        <w:t xml:space="preserve"> года выполнен</w:t>
      </w:r>
      <w:r w:rsidRPr="009E5034">
        <w:t xml:space="preserve">. </w:t>
      </w:r>
    </w:p>
    <w:p w:rsidR="00F65316" w:rsidRPr="009E5034" w:rsidRDefault="00F65316" w:rsidP="00F653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9FC" w:rsidRPr="009E5034" w:rsidRDefault="001C49FC" w:rsidP="004D5EA5">
      <w:pPr>
        <w:pStyle w:val="20"/>
        <w:spacing w:after="0" w:line="240" w:lineRule="auto"/>
        <w:jc w:val="center"/>
      </w:pPr>
    </w:p>
    <w:p w:rsidR="007B02F6" w:rsidRPr="009E5034" w:rsidRDefault="001C49FC" w:rsidP="004D5EA5">
      <w:pPr>
        <w:pStyle w:val="20"/>
        <w:spacing w:after="0" w:line="240" w:lineRule="auto"/>
        <w:jc w:val="center"/>
        <w:rPr>
          <w:b/>
        </w:rPr>
      </w:pPr>
      <w:r w:rsidRPr="009E5034">
        <w:rPr>
          <w:b/>
        </w:rPr>
        <w:t xml:space="preserve">Осуществление  территориальным фондом </w:t>
      </w:r>
      <w:r w:rsidR="00FA0B99" w:rsidRPr="009E5034">
        <w:rPr>
          <w:b/>
        </w:rPr>
        <w:t xml:space="preserve">контроля </w:t>
      </w:r>
      <w:r w:rsidRPr="009E5034">
        <w:rPr>
          <w:b/>
        </w:rPr>
        <w:t xml:space="preserve"> за деятельностью страховых медицинских организаций</w:t>
      </w:r>
    </w:p>
    <w:p w:rsidR="00FA0B99" w:rsidRPr="009E5034" w:rsidRDefault="00FA0B99" w:rsidP="004D5EA5">
      <w:pPr>
        <w:pStyle w:val="20"/>
        <w:spacing w:after="0" w:line="240" w:lineRule="auto"/>
        <w:jc w:val="center"/>
        <w:rPr>
          <w:b/>
          <w:noProof/>
          <w:color w:val="000000"/>
        </w:rPr>
      </w:pPr>
    </w:p>
    <w:p w:rsidR="004D5EA5" w:rsidRPr="009E5034" w:rsidRDefault="004D5EA5" w:rsidP="004D5EA5">
      <w:pPr>
        <w:ind w:firstLine="709"/>
        <w:jc w:val="both"/>
        <w:outlineLvl w:val="1"/>
      </w:pPr>
      <w:r w:rsidRPr="009E5034">
        <w:t xml:space="preserve">Территориальный фонд обязательного медицинского страхования на основании </w:t>
      </w:r>
      <w:hyperlink r:id="rId8" w:history="1">
        <w:r w:rsidRPr="009E5034">
          <w:t>части 11 статьи 40</w:t>
        </w:r>
      </w:hyperlink>
      <w:r w:rsidRPr="009E5034">
        <w:t xml:space="preserve"> Федерального закона осуществляет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 медико-экономический контроль, медико-экономическую экспертизу, экспертизу качества медицинской помощи, в том числе повторно.</w:t>
      </w:r>
    </w:p>
    <w:p w:rsidR="00296812" w:rsidRPr="009E5034" w:rsidRDefault="00296812" w:rsidP="008600AC">
      <w:pPr>
        <w:ind w:firstLine="709"/>
        <w:jc w:val="center"/>
        <w:outlineLvl w:val="1"/>
        <w:rPr>
          <w:b/>
        </w:rPr>
      </w:pPr>
    </w:p>
    <w:p w:rsidR="008600AC" w:rsidRPr="009E5034" w:rsidRDefault="008600AC" w:rsidP="008600AC">
      <w:pPr>
        <w:ind w:firstLine="709"/>
        <w:jc w:val="center"/>
        <w:outlineLvl w:val="1"/>
        <w:rPr>
          <w:b/>
        </w:rPr>
      </w:pPr>
      <w:r w:rsidRPr="009E5034">
        <w:rPr>
          <w:b/>
        </w:rPr>
        <w:t>Результаты повторного медико-экономичес</w:t>
      </w:r>
      <w:r w:rsidR="00467446">
        <w:rPr>
          <w:b/>
        </w:rPr>
        <w:t>кого контроля</w:t>
      </w:r>
    </w:p>
    <w:p w:rsidR="00296812" w:rsidRPr="009E5034" w:rsidRDefault="00296812" w:rsidP="008600AC">
      <w:pPr>
        <w:ind w:firstLine="709"/>
        <w:jc w:val="center"/>
        <w:outlineLvl w:val="1"/>
        <w:rPr>
          <w:b/>
        </w:rPr>
      </w:pPr>
    </w:p>
    <w:p w:rsidR="008600AC" w:rsidRPr="009E5034" w:rsidRDefault="009C0FE4" w:rsidP="008600AC">
      <w:pPr>
        <w:ind w:left="67" w:firstLine="720"/>
        <w:jc w:val="both"/>
      </w:pPr>
      <w:r>
        <w:t>В 202</w:t>
      </w:r>
      <w:r w:rsidR="00412A02">
        <w:t>2</w:t>
      </w:r>
      <w:r>
        <w:t xml:space="preserve"> году </w:t>
      </w:r>
      <w:r w:rsidR="00412A02">
        <w:t xml:space="preserve">территориальным фондом проведен </w:t>
      </w:r>
      <w:r>
        <w:t>п</w:t>
      </w:r>
      <w:r w:rsidR="00465BFC" w:rsidRPr="009E5034">
        <w:t xml:space="preserve">овторный медико-экономический контроль </w:t>
      </w:r>
      <w:r w:rsidR="00412A02">
        <w:t xml:space="preserve">52 индивидуальных </w:t>
      </w:r>
      <w:r>
        <w:t xml:space="preserve"> реестров счетов</w:t>
      </w:r>
      <w:r w:rsidR="00412A02">
        <w:t xml:space="preserve"> – нарушения не выявлены. </w:t>
      </w:r>
      <w:r w:rsidR="00465BFC" w:rsidRPr="009E5034">
        <w:t xml:space="preserve"> </w:t>
      </w:r>
    </w:p>
    <w:p w:rsidR="00296812" w:rsidRPr="009E5034" w:rsidRDefault="00296812" w:rsidP="008600AC">
      <w:pPr>
        <w:ind w:left="67" w:firstLine="720"/>
        <w:jc w:val="center"/>
        <w:rPr>
          <w:b/>
        </w:rPr>
      </w:pPr>
    </w:p>
    <w:p w:rsidR="008600AC" w:rsidRDefault="008600AC" w:rsidP="008600AC">
      <w:pPr>
        <w:ind w:left="67" w:firstLine="720"/>
        <w:jc w:val="center"/>
        <w:rPr>
          <w:b/>
        </w:rPr>
      </w:pPr>
      <w:r w:rsidRPr="009E5034">
        <w:rPr>
          <w:b/>
        </w:rPr>
        <w:t xml:space="preserve">Результаты повторной </w:t>
      </w:r>
      <w:r w:rsidR="00467446">
        <w:rPr>
          <w:b/>
        </w:rPr>
        <w:t>медико-экономической экспертизы</w:t>
      </w:r>
    </w:p>
    <w:p w:rsidR="00467446" w:rsidRPr="009E5034" w:rsidRDefault="00467446" w:rsidP="008600AC">
      <w:pPr>
        <w:ind w:left="67" w:firstLine="720"/>
        <w:jc w:val="center"/>
        <w:rPr>
          <w:b/>
        </w:rPr>
      </w:pPr>
    </w:p>
    <w:p w:rsidR="005B2287" w:rsidRDefault="008600AC" w:rsidP="005B2287">
      <w:pPr>
        <w:ind w:left="68" w:firstLine="640"/>
        <w:jc w:val="both"/>
      </w:pPr>
      <w:r w:rsidRPr="009E5034">
        <w:t>В 20</w:t>
      </w:r>
      <w:r w:rsidR="003052CC">
        <w:t>2</w:t>
      </w:r>
      <w:r w:rsidR="00412A02">
        <w:t>2</w:t>
      </w:r>
      <w:r w:rsidR="00467446">
        <w:t xml:space="preserve"> году территориальным фондом проведены повторные медико – экономические экспертизы </w:t>
      </w:r>
      <w:r w:rsidR="00412A02">
        <w:t>789</w:t>
      </w:r>
      <w:r w:rsidR="005B2287">
        <w:t xml:space="preserve">  страховых случаев, что на </w:t>
      </w:r>
      <w:r w:rsidR="00412A02">
        <w:t>300</w:t>
      </w:r>
      <w:r w:rsidR="005B2287">
        <w:t xml:space="preserve"> экспертиз или </w:t>
      </w:r>
      <w:r w:rsidR="00412A02">
        <w:t xml:space="preserve">27,5  </w:t>
      </w:r>
      <w:r w:rsidR="005B2287">
        <w:t xml:space="preserve"> % меньше, чем в 202</w:t>
      </w:r>
      <w:r w:rsidR="00412A02">
        <w:t>1</w:t>
      </w:r>
      <w:r w:rsidR="005B2287">
        <w:t xml:space="preserve"> году (202</w:t>
      </w:r>
      <w:r w:rsidR="00412A02">
        <w:t>1</w:t>
      </w:r>
      <w:r w:rsidR="005B2287">
        <w:t xml:space="preserve"> год- </w:t>
      </w:r>
      <w:r w:rsidR="00412A02">
        <w:t xml:space="preserve">1089 </w:t>
      </w:r>
      <w:r w:rsidR="005B2287">
        <w:t xml:space="preserve"> экспертиз). В 100 % случаях экспертизы проведены в </w:t>
      </w:r>
      <w:r w:rsidRPr="009E5034">
        <w:t>плановом порядке</w:t>
      </w:r>
      <w:r w:rsidR="005B2287">
        <w:t xml:space="preserve">. </w:t>
      </w:r>
      <w:r w:rsidRPr="009E5034">
        <w:t xml:space="preserve"> </w:t>
      </w:r>
      <w:r w:rsidR="005B2287">
        <w:t xml:space="preserve">Повторные МЭЭ  страховых случаев амбулаторной помощи составили  </w:t>
      </w:r>
      <w:r w:rsidR="00412A02">
        <w:t>409</w:t>
      </w:r>
      <w:r w:rsidR="005B2287">
        <w:t xml:space="preserve">  или 5</w:t>
      </w:r>
      <w:r w:rsidR="00412A02">
        <w:t xml:space="preserve">1,8 </w:t>
      </w:r>
      <w:r w:rsidR="005B2287">
        <w:t xml:space="preserve">% от общего числа повторных экспертиз; стационарной помощи составили </w:t>
      </w:r>
      <w:r w:rsidR="008B3A73">
        <w:t xml:space="preserve"> 168 </w:t>
      </w:r>
      <w:r w:rsidR="005B2287">
        <w:t xml:space="preserve"> или </w:t>
      </w:r>
      <w:r w:rsidR="008B3A73">
        <w:t xml:space="preserve">21,3 </w:t>
      </w:r>
      <w:r w:rsidR="005B2287">
        <w:t xml:space="preserve"> % от общего числа повторных экспертиз; скорой МП </w:t>
      </w:r>
      <w:r w:rsidR="008B3A73">
        <w:t xml:space="preserve">126 </w:t>
      </w:r>
      <w:r w:rsidR="005B2287">
        <w:t xml:space="preserve"> или 1</w:t>
      </w:r>
      <w:r w:rsidR="008B3A73">
        <w:t>6,0</w:t>
      </w:r>
      <w:r w:rsidR="005B2287">
        <w:t xml:space="preserve">  % от общего числа</w:t>
      </w:r>
      <w:r w:rsidR="005B2287" w:rsidRPr="005B2287">
        <w:t xml:space="preserve"> </w:t>
      </w:r>
      <w:r w:rsidR="005B2287">
        <w:t xml:space="preserve">повторных экспертиз; стационарозамещающей помощи </w:t>
      </w:r>
      <w:r w:rsidR="008B3A73">
        <w:t xml:space="preserve">86 </w:t>
      </w:r>
      <w:r w:rsidR="005B2287">
        <w:t>или 10,</w:t>
      </w:r>
      <w:r w:rsidR="008B3A73">
        <w:t>9</w:t>
      </w:r>
      <w:r w:rsidR="005B2287">
        <w:t xml:space="preserve">  % от общего числа повторных экспертиз. </w:t>
      </w:r>
      <w:r w:rsidR="005B2287" w:rsidRPr="009E5034">
        <w:t xml:space="preserve"> </w:t>
      </w:r>
      <w:r w:rsidR="005B2287">
        <w:t>По результатам повторных МЭЭ нарушений не выявлено.</w:t>
      </w:r>
    </w:p>
    <w:p w:rsidR="006334BC" w:rsidRPr="009E5034" w:rsidRDefault="006334BC" w:rsidP="006334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9E5034" w:rsidRDefault="008600AC" w:rsidP="008600AC">
      <w:pPr>
        <w:ind w:left="67" w:firstLine="720"/>
        <w:jc w:val="center"/>
        <w:rPr>
          <w:b/>
        </w:rPr>
      </w:pPr>
      <w:r w:rsidRPr="009E5034">
        <w:rPr>
          <w:b/>
        </w:rPr>
        <w:t>Результаты повторной экспертизы качества медицинской помощи</w:t>
      </w:r>
    </w:p>
    <w:p w:rsidR="008600AC" w:rsidRPr="009E5034" w:rsidRDefault="008600AC" w:rsidP="008600AC">
      <w:pPr>
        <w:ind w:left="67" w:firstLine="720"/>
        <w:jc w:val="both"/>
        <w:rPr>
          <w:b/>
        </w:rPr>
      </w:pPr>
    </w:p>
    <w:p w:rsidR="006334BC" w:rsidRDefault="008600AC" w:rsidP="006334BC">
      <w:pPr>
        <w:ind w:left="68" w:firstLine="640"/>
        <w:jc w:val="both"/>
      </w:pPr>
      <w:r w:rsidRPr="009E5034">
        <w:t xml:space="preserve">В </w:t>
      </w:r>
      <w:r w:rsidR="006334BC">
        <w:t>2</w:t>
      </w:r>
      <w:r w:rsidRPr="009E5034">
        <w:t>0</w:t>
      </w:r>
      <w:r w:rsidR="00435DDA">
        <w:t>2</w:t>
      </w:r>
      <w:r w:rsidR="008B3A73">
        <w:t>2</w:t>
      </w:r>
      <w:r w:rsidR="006334BC">
        <w:t xml:space="preserve"> году территориальным фондом проведены повторные экспертизы качества медицинской помощи </w:t>
      </w:r>
      <w:r w:rsidR="00B655CC">
        <w:t xml:space="preserve"> 83 </w:t>
      </w:r>
      <w:r w:rsidR="006334BC">
        <w:t xml:space="preserve">страховых случаев, что на  </w:t>
      </w:r>
      <w:r w:rsidR="00B655CC">
        <w:t>216</w:t>
      </w:r>
      <w:r w:rsidR="006334BC">
        <w:t xml:space="preserve"> экспертиз или </w:t>
      </w:r>
      <w:r w:rsidR="00B655CC">
        <w:t xml:space="preserve">72,2 </w:t>
      </w:r>
      <w:r w:rsidR="006334BC">
        <w:t xml:space="preserve"> % меньше, чем в 202</w:t>
      </w:r>
      <w:r w:rsidR="00B655CC">
        <w:t>1</w:t>
      </w:r>
      <w:r w:rsidR="006334BC">
        <w:t xml:space="preserve"> году  (в 202</w:t>
      </w:r>
      <w:r w:rsidR="00B655CC">
        <w:t>1</w:t>
      </w:r>
      <w:r w:rsidR="006334BC">
        <w:t xml:space="preserve"> году –</w:t>
      </w:r>
      <w:r w:rsidR="00B655CC">
        <w:t xml:space="preserve"> 299 </w:t>
      </w:r>
      <w:r w:rsidR="006334BC">
        <w:t xml:space="preserve"> экспертиз). В 100 % случаях экспертизы проведены в </w:t>
      </w:r>
      <w:r w:rsidR="006334BC" w:rsidRPr="009E5034">
        <w:t>плановом порядке</w:t>
      </w:r>
      <w:r w:rsidR="006334BC">
        <w:t xml:space="preserve">. </w:t>
      </w:r>
      <w:r w:rsidR="006334BC" w:rsidRPr="009E5034">
        <w:t xml:space="preserve"> </w:t>
      </w:r>
      <w:r w:rsidR="006334BC">
        <w:t xml:space="preserve">Повторные ЭКМП  страховых случаев амбулаторной помощи составили  </w:t>
      </w:r>
      <w:r w:rsidR="00B655CC">
        <w:t xml:space="preserve">17 </w:t>
      </w:r>
      <w:r w:rsidR="006334BC">
        <w:t xml:space="preserve">  или </w:t>
      </w:r>
      <w:r w:rsidR="00B655CC">
        <w:t xml:space="preserve">20,5 </w:t>
      </w:r>
      <w:r w:rsidR="006334BC">
        <w:t xml:space="preserve"> % от общего числа повторных экспертиз; стационарной помощи составили </w:t>
      </w:r>
      <w:r w:rsidR="00B655CC">
        <w:t>51</w:t>
      </w:r>
      <w:r w:rsidR="006334BC">
        <w:t xml:space="preserve">  или </w:t>
      </w:r>
      <w:r w:rsidR="00B655CC">
        <w:t xml:space="preserve">61,5 </w:t>
      </w:r>
      <w:r w:rsidR="006334BC">
        <w:t xml:space="preserve">  % от общего числа повторных экспертиз; скорой МП </w:t>
      </w:r>
      <w:r w:rsidR="00B655CC">
        <w:t>7</w:t>
      </w:r>
      <w:r w:rsidR="00663BF3">
        <w:t xml:space="preserve"> </w:t>
      </w:r>
      <w:r w:rsidR="006334BC">
        <w:t xml:space="preserve"> или </w:t>
      </w:r>
      <w:r w:rsidR="00B655CC">
        <w:t>8,4</w:t>
      </w:r>
      <w:r w:rsidR="00663BF3">
        <w:t xml:space="preserve"> </w:t>
      </w:r>
      <w:r w:rsidR="006334BC">
        <w:t xml:space="preserve">  % от общего числа</w:t>
      </w:r>
      <w:r w:rsidR="006334BC" w:rsidRPr="005B2287">
        <w:t xml:space="preserve"> </w:t>
      </w:r>
      <w:r w:rsidR="006334BC">
        <w:t xml:space="preserve">повторных экспертиз; стационарозамещающей помощи </w:t>
      </w:r>
      <w:r w:rsidR="00B655CC">
        <w:t>8</w:t>
      </w:r>
      <w:r w:rsidR="006334BC">
        <w:t xml:space="preserve"> или </w:t>
      </w:r>
      <w:r w:rsidR="00B655CC">
        <w:t xml:space="preserve">9,6 </w:t>
      </w:r>
      <w:r w:rsidR="006334BC">
        <w:t xml:space="preserve">  % от общего числа повторных экспертиз. </w:t>
      </w:r>
      <w:r w:rsidR="006334BC" w:rsidRPr="009E5034">
        <w:t xml:space="preserve"> </w:t>
      </w:r>
    </w:p>
    <w:p w:rsidR="00EC16B7" w:rsidRPr="009E5034" w:rsidRDefault="00A501F1" w:rsidP="004D64B3">
      <w:pPr>
        <w:ind w:firstLine="540"/>
        <w:jc w:val="both"/>
        <w:rPr>
          <w:color w:val="000000"/>
        </w:rPr>
      </w:pPr>
      <w:r>
        <w:t xml:space="preserve">По результатам контроля выявлено </w:t>
      </w:r>
      <w:r w:rsidR="00E0540C">
        <w:t xml:space="preserve">66 </w:t>
      </w:r>
      <w:r>
        <w:t xml:space="preserve"> страховых случаев, содержащих нарушения</w:t>
      </w:r>
      <w:r w:rsidR="00EC16B7">
        <w:t xml:space="preserve">. Из них </w:t>
      </w:r>
      <w:r w:rsidR="00E0540C">
        <w:t xml:space="preserve">37 (или </w:t>
      </w:r>
      <w:r w:rsidR="006572A1">
        <w:t xml:space="preserve">56,1 </w:t>
      </w:r>
      <w:r w:rsidR="00E0540C">
        <w:t xml:space="preserve"> %) случаев амбулаторной помощи, 27</w:t>
      </w:r>
      <w:r w:rsidR="00EC16B7">
        <w:t xml:space="preserve"> случаев (или </w:t>
      </w:r>
      <w:r w:rsidR="006572A1">
        <w:t>40,9</w:t>
      </w:r>
      <w:r w:rsidR="00EC16B7">
        <w:t xml:space="preserve"> %) стационарной помощи, и </w:t>
      </w:r>
      <w:r w:rsidR="006572A1">
        <w:t xml:space="preserve"> по 1</w:t>
      </w:r>
      <w:r w:rsidR="00EC16B7">
        <w:t xml:space="preserve"> случа</w:t>
      </w:r>
      <w:r w:rsidR="006572A1">
        <w:t xml:space="preserve">ю </w:t>
      </w:r>
      <w:r w:rsidR="00EC16B7">
        <w:t xml:space="preserve"> (или </w:t>
      </w:r>
      <w:r w:rsidR="006572A1">
        <w:t>1,5</w:t>
      </w:r>
      <w:r w:rsidR="00EC16B7">
        <w:t xml:space="preserve"> %) скорой медицинской помощи. </w:t>
      </w:r>
      <w:r w:rsidR="00EC16B7">
        <w:rPr>
          <w:color w:val="000000"/>
        </w:rPr>
        <w:t>По сравнению с 202</w:t>
      </w:r>
      <w:r w:rsidR="004D64B3">
        <w:rPr>
          <w:color w:val="000000"/>
        </w:rPr>
        <w:t>1</w:t>
      </w:r>
      <w:r w:rsidR="00EC16B7">
        <w:rPr>
          <w:color w:val="000000"/>
        </w:rPr>
        <w:t xml:space="preserve"> годом изменилась структура выявленных нарушений</w:t>
      </w:r>
      <w:r w:rsidR="004D64B3">
        <w:rPr>
          <w:color w:val="000000"/>
        </w:rPr>
        <w:t xml:space="preserve">, если </w:t>
      </w:r>
      <w:r w:rsidR="00EC16B7">
        <w:rPr>
          <w:color w:val="000000"/>
        </w:rPr>
        <w:t xml:space="preserve">в </w:t>
      </w:r>
      <w:r w:rsidR="004D64B3">
        <w:rPr>
          <w:color w:val="000000"/>
        </w:rPr>
        <w:t>2021 году  100 % нарушений обусловлены н</w:t>
      </w:r>
      <w:r w:rsidR="004D64B3" w:rsidRPr="009E5034">
        <w:rPr>
          <w:color w:val="000000"/>
        </w:rPr>
        <w:t>есоблюдени</w:t>
      </w:r>
      <w:r w:rsidR="004D64B3">
        <w:rPr>
          <w:color w:val="000000"/>
        </w:rPr>
        <w:t xml:space="preserve">ем </w:t>
      </w:r>
      <w:r w:rsidR="004D64B3" w:rsidRPr="009E5034">
        <w:rPr>
          <w:color w:val="000000"/>
        </w:rPr>
        <w:t xml:space="preserve"> клинических рекомендаций, порядков оказания медицинской помощи, стандартов медицинской помощи</w:t>
      </w:r>
      <w:r w:rsidR="004D64B3">
        <w:rPr>
          <w:color w:val="000000"/>
        </w:rPr>
        <w:t xml:space="preserve">, то </w:t>
      </w:r>
      <w:r w:rsidR="0062439D">
        <w:rPr>
          <w:color w:val="000000"/>
        </w:rPr>
        <w:t xml:space="preserve">по итогам 2022 года </w:t>
      </w:r>
      <w:r w:rsidR="00EC16B7">
        <w:rPr>
          <w:color w:val="000000"/>
        </w:rPr>
        <w:t xml:space="preserve"> </w:t>
      </w:r>
      <w:r w:rsidR="0062439D">
        <w:rPr>
          <w:color w:val="000000"/>
        </w:rPr>
        <w:t>6</w:t>
      </w:r>
      <w:r w:rsidR="00EC16B7" w:rsidRPr="009E5034">
        <w:rPr>
          <w:color w:val="000000"/>
        </w:rPr>
        <w:t xml:space="preserve"> (</w:t>
      </w:r>
      <w:r w:rsidR="00EC16B7">
        <w:rPr>
          <w:color w:val="000000"/>
        </w:rPr>
        <w:t xml:space="preserve">или </w:t>
      </w:r>
      <w:r w:rsidR="0062439D">
        <w:rPr>
          <w:color w:val="000000"/>
        </w:rPr>
        <w:t xml:space="preserve">9,1 </w:t>
      </w:r>
      <w:r w:rsidR="00EC16B7">
        <w:rPr>
          <w:color w:val="000000"/>
        </w:rPr>
        <w:t>0</w:t>
      </w:r>
      <w:r w:rsidR="00EC16B7" w:rsidRPr="009E5034">
        <w:rPr>
          <w:color w:val="000000"/>
        </w:rPr>
        <w:t>%)</w:t>
      </w:r>
      <w:r w:rsidR="00EC16B7">
        <w:rPr>
          <w:color w:val="000000"/>
        </w:rPr>
        <w:t xml:space="preserve"> случаев составили случаи </w:t>
      </w:r>
      <w:r w:rsidR="00EC16B7" w:rsidRPr="009E5034">
        <w:rPr>
          <w:color w:val="000000"/>
        </w:rPr>
        <w:t xml:space="preserve">несоблюдения клинических рекомендаций, порядков оказания медицинской помощи, стандартов медицинской помощи, </w:t>
      </w:r>
      <w:r w:rsidR="0062439D">
        <w:rPr>
          <w:color w:val="000000"/>
        </w:rPr>
        <w:t xml:space="preserve"> 4 (или 6,1 %) случаи непрофильной госпитализации, </w:t>
      </w:r>
      <w:r w:rsidR="00EC16B7" w:rsidRPr="009E5034">
        <w:rPr>
          <w:color w:val="000000"/>
        </w:rPr>
        <w:t xml:space="preserve"> и</w:t>
      </w:r>
      <w:r w:rsidR="00EC16B7">
        <w:rPr>
          <w:color w:val="000000"/>
        </w:rPr>
        <w:t xml:space="preserve"> </w:t>
      </w:r>
      <w:r w:rsidR="0062439D">
        <w:rPr>
          <w:color w:val="000000"/>
        </w:rPr>
        <w:t>56</w:t>
      </w:r>
      <w:r w:rsidR="00EC16B7">
        <w:rPr>
          <w:color w:val="000000"/>
        </w:rPr>
        <w:t xml:space="preserve"> (или </w:t>
      </w:r>
      <w:r w:rsidR="0062439D">
        <w:rPr>
          <w:color w:val="000000"/>
        </w:rPr>
        <w:t>84,8</w:t>
      </w:r>
      <w:r w:rsidR="00EC16B7">
        <w:rPr>
          <w:color w:val="000000"/>
        </w:rPr>
        <w:t xml:space="preserve"> %) случаев </w:t>
      </w:r>
      <w:r w:rsidR="00EC16B7" w:rsidRPr="009E5034">
        <w:rPr>
          <w:color w:val="000000"/>
        </w:rPr>
        <w:t xml:space="preserve"> прочи</w:t>
      </w:r>
      <w:r w:rsidR="00EC16B7">
        <w:rPr>
          <w:color w:val="000000"/>
        </w:rPr>
        <w:t xml:space="preserve">е </w:t>
      </w:r>
      <w:r w:rsidR="00EC16B7" w:rsidRPr="009E5034">
        <w:rPr>
          <w:color w:val="000000"/>
        </w:rPr>
        <w:t xml:space="preserve"> нарушени</w:t>
      </w:r>
      <w:r w:rsidR="00EC16B7">
        <w:rPr>
          <w:color w:val="000000"/>
        </w:rPr>
        <w:t>я</w:t>
      </w:r>
      <w:r w:rsidR="00EC16B7" w:rsidRPr="009E5034">
        <w:rPr>
          <w:color w:val="000000"/>
        </w:rPr>
        <w:t xml:space="preserve"> в соответствии с Перечнем </w:t>
      </w:r>
      <w:r w:rsidR="00EC16B7">
        <w:rPr>
          <w:color w:val="000000"/>
        </w:rPr>
        <w:t>оснований для уменьшения в оплате</w:t>
      </w:r>
      <w:r w:rsidR="00EC16B7" w:rsidRPr="009E5034">
        <w:rPr>
          <w:color w:val="000000"/>
        </w:rPr>
        <w:t>.</w:t>
      </w:r>
    </w:p>
    <w:p w:rsidR="00A501F1" w:rsidRDefault="00A501F1" w:rsidP="006334BC">
      <w:pPr>
        <w:ind w:left="68" w:firstLine="640"/>
        <w:jc w:val="both"/>
      </w:pPr>
    </w:p>
    <w:p w:rsidR="00663BF3" w:rsidRPr="009E5034" w:rsidRDefault="00663BF3" w:rsidP="00663BF3">
      <w:pPr>
        <w:autoSpaceDE w:val="0"/>
        <w:autoSpaceDN w:val="0"/>
        <w:adjustRightInd w:val="0"/>
        <w:jc w:val="both"/>
      </w:pPr>
      <w:r>
        <w:t xml:space="preserve">Установленный приказом Минздрава России от 19.03.2021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</w:t>
      </w:r>
      <w:r w:rsidRPr="009E5034">
        <w:t xml:space="preserve"> </w:t>
      </w:r>
      <w:r>
        <w:t>об</w:t>
      </w:r>
      <w:r w:rsidRPr="009E5034">
        <w:t xml:space="preserve">ъем </w:t>
      </w:r>
      <w:r>
        <w:t xml:space="preserve">страховых случаев, подвергаемых реэкспертизе,  от числа первичных экспертиз качества медицинской помощи </w:t>
      </w:r>
      <w:r w:rsidR="00B655CC">
        <w:t xml:space="preserve"> случаев стационарной и скорой МП </w:t>
      </w:r>
      <w:r w:rsidRPr="009E5034">
        <w:t xml:space="preserve"> </w:t>
      </w:r>
      <w:r>
        <w:t>территориальным фондом  по итогам 202</w:t>
      </w:r>
      <w:r w:rsidR="00B655CC">
        <w:t>2</w:t>
      </w:r>
      <w:r>
        <w:t xml:space="preserve"> года </w:t>
      </w:r>
      <w:r w:rsidR="00B655CC">
        <w:t xml:space="preserve"> не </w:t>
      </w:r>
      <w:r>
        <w:t>выполнен</w:t>
      </w:r>
      <w:r w:rsidRPr="009E5034">
        <w:t xml:space="preserve">. </w:t>
      </w:r>
    </w:p>
    <w:p w:rsidR="00663BF3" w:rsidRDefault="00663BF3" w:rsidP="008600AC">
      <w:pPr>
        <w:jc w:val="both"/>
        <w:rPr>
          <w:color w:val="000000"/>
        </w:rPr>
      </w:pPr>
    </w:p>
    <w:p w:rsidR="003E660E" w:rsidRDefault="00165DC6" w:rsidP="004D5E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E5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593" w:rsidRDefault="00165DC6" w:rsidP="003E660E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установленные  приказом </w:t>
      </w:r>
      <w:r w:rsidR="003E660E">
        <w:t xml:space="preserve">Минздрава России от 19.03.2021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</w:t>
      </w:r>
      <w:r w:rsidR="003E660E" w:rsidRPr="009E5034">
        <w:t xml:space="preserve"> </w:t>
      </w:r>
      <w:r w:rsidRPr="009E5034">
        <w:rPr>
          <w:rFonts w:ascii="Times New Roman" w:hAnsi="Times New Roman" w:cs="Times New Roman"/>
          <w:sz w:val="24"/>
          <w:szCs w:val="24"/>
        </w:rPr>
        <w:t>нормативы объемов выполнения первичных медико-экономических экспертиз и экспертиз качества медицинской помощи</w:t>
      </w:r>
      <w:r w:rsidR="00437593">
        <w:rPr>
          <w:rFonts w:ascii="Times New Roman" w:hAnsi="Times New Roman" w:cs="Times New Roman"/>
          <w:sz w:val="24"/>
          <w:szCs w:val="24"/>
        </w:rPr>
        <w:t xml:space="preserve">   СМО </w:t>
      </w:r>
      <w:r w:rsidR="00437593" w:rsidRPr="009E5034">
        <w:rPr>
          <w:rFonts w:ascii="Times New Roman" w:hAnsi="Times New Roman" w:cs="Times New Roman"/>
          <w:sz w:val="24"/>
          <w:szCs w:val="24"/>
        </w:rPr>
        <w:t>выполнены</w:t>
      </w:r>
      <w:r w:rsidR="00437593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7875B5" w:rsidRDefault="007875B5" w:rsidP="003E660E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МЭЭ   33,1 % случаев, подвергнутых экспертизе, содержали дефекты оказания МП,</w:t>
      </w:r>
    </w:p>
    <w:p w:rsidR="007875B5" w:rsidRDefault="007875B5" w:rsidP="007875B5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ЭКМП   57,4 % случаев, подвергнутых экспертизе, содержали дефекты оказания МП,</w:t>
      </w:r>
    </w:p>
    <w:p w:rsidR="009E5034" w:rsidRPr="00640F3B" w:rsidRDefault="003E660E" w:rsidP="00640F3B">
      <w:pPr>
        <w:pStyle w:val="ConsPlusNormal"/>
        <w:widowControl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0F3B">
        <w:rPr>
          <w:rFonts w:ascii="Times New Roman" w:hAnsi="Times New Roman" w:cs="Times New Roman"/>
          <w:sz w:val="24"/>
          <w:szCs w:val="24"/>
        </w:rPr>
        <w:t>в структуре выявл</w:t>
      </w:r>
      <w:r w:rsidR="007875B5">
        <w:rPr>
          <w:rFonts w:ascii="Times New Roman" w:hAnsi="Times New Roman" w:cs="Times New Roman"/>
          <w:sz w:val="24"/>
          <w:szCs w:val="24"/>
        </w:rPr>
        <w:t xml:space="preserve">енных </w:t>
      </w:r>
      <w:r w:rsidRPr="00640F3B">
        <w:rPr>
          <w:rFonts w:ascii="Times New Roman" w:hAnsi="Times New Roman" w:cs="Times New Roman"/>
          <w:sz w:val="24"/>
          <w:szCs w:val="24"/>
        </w:rPr>
        <w:t>нарушений, как и  по итогам 202</w:t>
      </w:r>
      <w:r w:rsidR="007875B5">
        <w:rPr>
          <w:rFonts w:ascii="Times New Roman" w:hAnsi="Times New Roman" w:cs="Times New Roman"/>
          <w:sz w:val="24"/>
          <w:szCs w:val="24"/>
        </w:rPr>
        <w:t>1</w:t>
      </w:r>
      <w:r w:rsidRPr="00640F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640F3B">
        <w:rPr>
          <w:rFonts w:ascii="Times New Roman" w:hAnsi="Times New Roman" w:cs="Times New Roman"/>
          <w:sz w:val="24"/>
          <w:szCs w:val="24"/>
        </w:rPr>
        <w:t>,</w:t>
      </w:r>
      <w:r w:rsidRPr="00640F3B">
        <w:rPr>
          <w:rFonts w:ascii="Times New Roman" w:hAnsi="Times New Roman" w:cs="Times New Roman"/>
          <w:sz w:val="24"/>
          <w:szCs w:val="24"/>
        </w:rPr>
        <w:t xml:space="preserve"> преобладают нарушения,  связанные с</w:t>
      </w:r>
      <w:r w:rsidR="00640F3B" w:rsidRPr="00640F3B">
        <w:rPr>
          <w:color w:val="000000"/>
        </w:rPr>
        <w:t xml:space="preserve"> несоблюдения клинических рекомендаций, порядков </w:t>
      </w:r>
      <w:r w:rsidR="00640F3B" w:rsidRPr="00640F3B">
        <w:rPr>
          <w:color w:val="000000"/>
        </w:rPr>
        <w:lastRenderedPageBreak/>
        <w:t xml:space="preserve">оказания медицинской помощи, стандартов медицинской помощи </w:t>
      </w:r>
      <w:r w:rsidR="009E5034" w:rsidRPr="00640F3B">
        <w:rPr>
          <w:rFonts w:ascii="Times New Roman" w:hAnsi="Times New Roman" w:cs="Times New Roman"/>
          <w:sz w:val="24"/>
          <w:szCs w:val="24"/>
        </w:rPr>
        <w:t>(</w:t>
      </w:r>
      <w:r w:rsidR="003C0A1C" w:rsidRPr="00640F3B">
        <w:rPr>
          <w:rFonts w:ascii="Times New Roman" w:hAnsi="Times New Roman" w:cs="Times New Roman"/>
          <w:sz w:val="24"/>
          <w:szCs w:val="24"/>
        </w:rPr>
        <w:t>п</w:t>
      </w:r>
      <w:r w:rsidR="009E5034" w:rsidRPr="00640F3B">
        <w:rPr>
          <w:rFonts w:ascii="Times New Roman" w:hAnsi="Times New Roman" w:cs="Times New Roman"/>
          <w:sz w:val="24"/>
          <w:szCs w:val="24"/>
        </w:rPr>
        <w:t xml:space="preserve">о результатам МЭЭ </w:t>
      </w:r>
      <w:r w:rsidR="00640F3B">
        <w:rPr>
          <w:rFonts w:ascii="Times New Roman" w:hAnsi="Times New Roman" w:cs="Times New Roman"/>
          <w:sz w:val="24"/>
          <w:szCs w:val="24"/>
        </w:rPr>
        <w:t xml:space="preserve">отражены по строке </w:t>
      </w:r>
      <w:r w:rsidR="009E5034" w:rsidRPr="00640F3B">
        <w:rPr>
          <w:rFonts w:ascii="Times New Roman" w:hAnsi="Times New Roman" w:cs="Times New Roman"/>
          <w:sz w:val="24"/>
          <w:szCs w:val="24"/>
        </w:rPr>
        <w:t xml:space="preserve"> «прочие</w:t>
      </w:r>
      <w:r w:rsidR="00640F3B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9E5034" w:rsidRPr="00640F3B">
        <w:rPr>
          <w:rFonts w:ascii="Times New Roman" w:hAnsi="Times New Roman" w:cs="Times New Roman"/>
          <w:sz w:val="24"/>
          <w:szCs w:val="24"/>
        </w:rPr>
        <w:t>»).</w:t>
      </w:r>
    </w:p>
    <w:p w:rsidR="0076220C" w:rsidRPr="009E5034" w:rsidRDefault="0076220C" w:rsidP="0076220C">
      <w:pPr>
        <w:ind w:left="67"/>
        <w:jc w:val="both"/>
      </w:pPr>
      <w:r w:rsidRPr="009E5034">
        <w:t xml:space="preserve"> </w:t>
      </w:r>
    </w:p>
    <w:sectPr w:rsidR="0076220C" w:rsidRPr="009E5034" w:rsidSect="00D20F60">
      <w:footerReference w:type="even" r:id="rId9"/>
      <w:footerReference w:type="default" r:id="rId10"/>
      <w:pgSz w:w="11906" w:h="16838"/>
      <w:pgMar w:top="709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4C" w:rsidRDefault="00130D4C">
      <w:r>
        <w:separator/>
      </w:r>
    </w:p>
  </w:endnote>
  <w:endnote w:type="continuationSeparator" w:id="1">
    <w:p w:rsidR="00130D4C" w:rsidRDefault="0013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A2" w:rsidRDefault="00A7785F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0B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0BA2" w:rsidRDefault="00590BA2" w:rsidP="00F53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A2" w:rsidRDefault="00A7785F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0BA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22FD">
      <w:rPr>
        <w:rStyle w:val="a6"/>
        <w:noProof/>
      </w:rPr>
      <w:t>9</w:t>
    </w:r>
    <w:r>
      <w:rPr>
        <w:rStyle w:val="a6"/>
      </w:rPr>
      <w:fldChar w:fldCharType="end"/>
    </w:r>
  </w:p>
  <w:p w:rsidR="00590BA2" w:rsidRDefault="00590BA2" w:rsidP="00F53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4C" w:rsidRDefault="00130D4C">
      <w:r>
        <w:separator/>
      </w:r>
    </w:p>
  </w:footnote>
  <w:footnote w:type="continuationSeparator" w:id="1">
    <w:p w:rsidR="00130D4C" w:rsidRDefault="0013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60"/>
    <w:multiLevelType w:val="hybridMultilevel"/>
    <w:tmpl w:val="415E4684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26803CE"/>
    <w:multiLevelType w:val="hybridMultilevel"/>
    <w:tmpl w:val="39D03F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3A1D65"/>
    <w:multiLevelType w:val="hybridMultilevel"/>
    <w:tmpl w:val="350A18F0"/>
    <w:lvl w:ilvl="0" w:tplc="ECD09E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10725"/>
    <w:multiLevelType w:val="hybridMultilevel"/>
    <w:tmpl w:val="85BCFC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CBB73D0"/>
    <w:multiLevelType w:val="hybridMultilevel"/>
    <w:tmpl w:val="9180892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21E51856"/>
    <w:multiLevelType w:val="hybridMultilevel"/>
    <w:tmpl w:val="7E1E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548CD"/>
    <w:multiLevelType w:val="hybridMultilevel"/>
    <w:tmpl w:val="875AEE3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27EB29BE"/>
    <w:multiLevelType w:val="hybridMultilevel"/>
    <w:tmpl w:val="8A7E64DA"/>
    <w:lvl w:ilvl="0" w:tplc="5D0AE0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ADC7E7C"/>
    <w:multiLevelType w:val="hybridMultilevel"/>
    <w:tmpl w:val="12A22824"/>
    <w:lvl w:ilvl="0" w:tplc="E90E432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374C7"/>
    <w:multiLevelType w:val="hybridMultilevel"/>
    <w:tmpl w:val="81B800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3BAA22DD"/>
    <w:multiLevelType w:val="hybridMultilevel"/>
    <w:tmpl w:val="E0522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932224A"/>
    <w:multiLevelType w:val="hybridMultilevel"/>
    <w:tmpl w:val="3EEC6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DFF484C"/>
    <w:multiLevelType w:val="hybridMultilevel"/>
    <w:tmpl w:val="4C9C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7651B"/>
    <w:multiLevelType w:val="hybridMultilevel"/>
    <w:tmpl w:val="04A2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319C7"/>
    <w:multiLevelType w:val="hybridMultilevel"/>
    <w:tmpl w:val="33049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235C50"/>
    <w:multiLevelType w:val="hybridMultilevel"/>
    <w:tmpl w:val="DCBE1C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7DE47BF"/>
    <w:multiLevelType w:val="hybridMultilevel"/>
    <w:tmpl w:val="7DD6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75397"/>
    <w:multiLevelType w:val="hybridMultilevel"/>
    <w:tmpl w:val="3F4E1C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4"/>
  </w:num>
  <w:num w:numId="17">
    <w:abstractNumId w:val="13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CF5"/>
    <w:rsid w:val="00000462"/>
    <w:rsid w:val="00000D0B"/>
    <w:rsid w:val="00000FDF"/>
    <w:rsid w:val="00006970"/>
    <w:rsid w:val="00007501"/>
    <w:rsid w:val="000109F2"/>
    <w:rsid w:val="00011232"/>
    <w:rsid w:val="00013AFB"/>
    <w:rsid w:val="00014B5A"/>
    <w:rsid w:val="0002062C"/>
    <w:rsid w:val="00021562"/>
    <w:rsid w:val="00024190"/>
    <w:rsid w:val="0002419E"/>
    <w:rsid w:val="000269E1"/>
    <w:rsid w:val="000327BF"/>
    <w:rsid w:val="00032815"/>
    <w:rsid w:val="00032E55"/>
    <w:rsid w:val="0003327B"/>
    <w:rsid w:val="00035370"/>
    <w:rsid w:val="0003593F"/>
    <w:rsid w:val="00035FFB"/>
    <w:rsid w:val="00037051"/>
    <w:rsid w:val="000402C3"/>
    <w:rsid w:val="000424F8"/>
    <w:rsid w:val="00043312"/>
    <w:rsid w:val="00043BF7"/>
    <w:rsid w:val="0004689F"/>
    <w:rsid w:val="00050A12"/>
    <w:rsid w:val="00050B76"/>
    <w:rsid w:val="00050D92"/>
    <w:rsid w:val="00051272"/>
    <w:rsid w:val="00051480"/>
    <w:rsid w:val="00052502"/>
    <w:rsid w:val="00055A39"/>
    <w:rsid w:val="00062B08"/>
    <w:rsid w:val="00062C9D"/>
    <w:rsid w:val="00063E9A"/>
    <w:rsid w:val="00063FBA"/>
    <w:rsid w:val="000641A5"/>
    <w:rsid w:val="0007052B"/>
    <w:rsid w:val="00070BA0"/>
    <w:rsid w:val="00072250"/>
    <w:rsid w:val="00072678"/>
    <w:rsid w:val="00073378"/>
    <w:rsid w:val="000735A7"/>
    <w:rsid w:val="0007377D"/>
    <w:rsid w:val="00073D9A"/>
    <w:rsid w:val="00074755"/>
    <w:rsid w:val="00076F36"/>
    <w:rsid w:val="000800CE"/>
    <w:rsid w:val="00080232"/>
    <w:rsid w:val="00080CEC"/>
    <w:rsid w:val="00081566"/>
    <w:rsid w:val="00083FC7"/>
    <w:rsid w:val="00085576"/>
    <w:rsid w:val="00086C82"/>
    <w:rsid w:val="000870E1"/>
    <w:rsid w:val="000871C4"/>
    <w:rsid w:val="000879B4"/>
    <w:rsid w:val="00091335"/>
    <w:rsid w:val="00091654"/>
    <w:rsid w:val="00093377"/>
    <w:rsid w:val="000933AF"/>
    <w:rsid w:val="000939EE"/>
    <w:rsid w:val="000950A7"/>
    <w:rsid w:val="00095227"/>
    <w:rsid w:val="00095708"/>
    <w:rsid w:val="000A0BC3"/>
    <w:rsid w:val="000A3D49"/>
    <w:rsid w:val="000B0E41"/>
    <w:rsid w:val="000B102D"/>
    <w:rsid w:val="000B1656"/>
    <w:rsid w:val="000B2C51"/>
    <w:rsid w:val="000B44D2"/>
    <w:rsid w:val="000B4F67"/>
    <w:rsid w:val="000B6D9A"/>
    <w:rsid w:val="000B7AF7"/>
    <w:rsid w:val="000B7E80"/>
    <w:rsid w:val="000C0437"/>
    <w:rsid w:val="000C2721"/>
    <w:rsid w:val="000C336E"/>
    <w:rsid w:val="000C3CF1"/>
    <w:rsid w:val="000C57C0"/>
    <w:rsid w:val="000C602B"/>
    <w:rsid w:val="000C66A4"/>
    <w:rsid w:val="000C7C60"/>
    <w:rsid w:val="000C7D5B"/>
    <w:rsid w:val="000D2776"/>
    <w:rsid w:val="000D2952"/>
    <w:rsid w:val="000D3929"/>
    <w:rsid w:val="000D46BE"/>
    <w:rsid w:val="000D5723"/>
    <w:rsid w:val="000D617B"/>
    <w:rsid w:val="000D6903"/>
    <w:rsid w:val="000D6FD1"/>
    <w:rsid w:val="000E0400"/>
    <w:rsid w:val="000E1BD9"/>
    <w:rsid w:val="000E2738"/>
    <w:rsid w:val="000E4660"/>
    <w:rsid w:val="000E4A84"/>
    <w:rsid w:val="000E54D9"/>
    <w:rsid w:val="000E7DEA"/>
    <w:rsid w:val="000E7FE1"/>
    <w:rsid w:val="000F06C4"/>
    <w:rsid w:val="000F0C12"/>
    <w:rsid w:val="000F21BE"/>
    <w:rsid w:val="000F3872"/>
    <w:rsid w:val="000F38A4"/>
    <w:rsid w:val="000F42B8"/>
    <w:rsid w:val="000F4DD4"/>
    <w:rsid w:val="00102B09"/>
    <w:rsid w:val="00102DFF"/>
    <w:rsid w:val="0010628D"/>
    <w:rsid w:val="00106816"/>
    <w:rsid w:val="0010708D"/>
    <w:rsid w:val="00107525"/>
    <w:rsid w:val="001076B0"/>
    <w:rsid w:val="00110898"/>
    <w:rsid w:val="00110CBE"/>
    <w:rsid w:val="001115B9"/>
    <w:rsid w:val="001143FE"/>
    <w:rsid w:val="00114F4E"/>
    <w:rsid w:val="001173C4"/>
    <w:rsid w:val="00117C27"/>
    <w:rsid w:val="00121494"/>
    <w:rsid w:val="00121DED"/>
    <w:rsid w:val="001221F9"/>
    <w:rsid w:val="00123050"/>
    <w:rsid w:val="001239F0"/>
    <w:rsid w:val="00124487"/>
    <w:rsid w:val="00126855"/>
    <w:rsid w:val="00127818"/>
    <w:rsid w:val="00130D4C"/>
    <w:rsid w:val="001332A1"/>
    <w:rsid w:val="00133786"/>
    <w:rsid w:val="001349C6"/>
    <w:rsid w:val="00136A02"/>
    <w:rsid w:val="00137AB6"/>
    <w:rsid w:val="00137BEA"/>
    <w:rsid w:val="00140298"/>
    <w:rsid w:val="00140458"/>
    <w:rsid w:val="00140772"/>
    <w:rsid w:val="00141E8F"/>
    <w:rsid w:val="00142788"/>
    <w:rsid w:val="00142A9D"/>
    <w:rsid w:val="0014376C"/>
    <w:rsid w:val="001438BC"/>
    <w:rsid w:val="00143EA1"/>
    <w:rsid w:val="00144311"/>
    <w:rsid w:val="00145E48"/>
    <w:rsid w:val="00146107"/>
    <w:rsid w:val="0014618D"/>
    <w:rsid w:val="00146B9B"/>
    <w:rsid w:val="00146BF7"/>
    <w:rsid w:val="0014730C"/>
    <w:rsid w:val="0015158A"/>
    <w:rsid w:val="001520C3"/>
    <w:rsid w:val="001548F0"/>
    <w:rsid w:val="00154B65"/>
    <w:rsid w:val="00155986"/>
    <w:rsid w:val="00155D5D"/>
    <w:rsid w:val="00156AC1"/>
    <w:rsid w:val="00157143"/>
    <w:rsid w:val="0015787A"/>
    <w:rsid w:val="0015787F"/>
    <w:rsid w:val="00161DFF"/>
    <w:rsid w:val="00163CCC"/>
    <w:rsid w:val="00164D7F"/>
    <w:rsid w:val="00165DC6"/>
    <w:rsid w:val="00166F71"/>
    <w:rsid w:val="00171011"/>
    <w:rsid w:val="001728C7"/>
    <w:rsid w:val="0017322B"/>
    <w:rsid w:val="00173655"/>
    <w:rsid w:val="00175C23"/>
    <w:rsid w:val="001804B7"/>
    <w:rsid w:val="001814EC"/>
    <w:rsid w:val="00181B65"/>
    <w:rsid w:val="00184FC0"/>
    <w:rsid w:val="0018659A"/>
    <w:rsid w:val="00186E96"/>
    <w:rsid w:val="00187284"/>
    <w:rsid w:val="001878AC"/>
    <w:rsid w:val="001904C4"/>
    <w:rsid w:val="00190A49"/>
    <w:rsid w:val="00193D19"/>
    <w:rsid w:val="001942FB"/>
    <w:rsid w:val="00196E42"/>
    <w:rsid w:val="001A0198"/>
    <w:rsid w:val="001A1DD2"/>
    <w:rsid w:val="001A5396"/>
    <w:rsid w:val="001A65F5"/>
    <w:rsid w:val="001A7236"/>
    <w:rsid w:val="001A73E6"/>
    <w:rsid w:val="001B07E6"/>
    <w:rsid w:val="001B0D34"/>
    <w:rsid w:val="001B12C0"/>
    <w:rsid w:val="001B34B0"/>
    <w:rsid w:val="001B35E8"/>
    <w:rsid w:val="001B4E02"/>
    <w:rsid w:val="001B67FD"/>
    <w:rsid w:val="001B6CAB"/>
    <w:rsid w:val="001B796D"/>
    <w:rsid w:val="001C0F59"/>
    <w:rsid w:val="001C208F"/>
    <w:rsid w:val="001C2C91"/>
    <w:rsid w:val="001C2E68"/>
    <w:rsid w:val="001C365F"/>
    <w:rsid w:val="001C49FC"/>
    <w:rsid w:val="001C5002"/>
    <w:rsid w:val="001C5AA1"/>
    <w:rsid w:val="001C66A9"/>
    <w:rsid w:val="001C7304"/>
    <w:rsid w:val="001D0F8A"/>
    <w:rsid w:val="001D107F"/>
    <w:rsid w:val="001D17D8"/>
    <w:rsid w:val="001D1BFE"/>
    <w:rsid w:val="001D2464"/>
    <w:rsid w:val="001D2714"/>
    <w:rsid w:val="001D474B"/>
    <w:rsid w:val="001D4D08"/>
    <w:rsid w:val="001E024C"/>
    <w:rsid w:val="001E03EC"/>
    <w:rsid w:val="001E188A"/>
    <w:rsid w:val="001E3C22"/>
    <w:rsid w:val="001E4293"/>
    <w:rsid w:val="001E458F"/>
    <w:rsid w:val="001F03DE"/>
    <w:rsid w:val="001F157C"/>
    <w:rsid w:val="001F1CDC"/>
    <w:rsid w:val="001F2801"/>
    <w:rsid w:val="001F2C57"/>
    <w:rsid w:val="001F2E55"/>
    <w:rsid w:val="001F7372"/>
    <w:rsid w:val="00200B50"/>
    <w:rsid w:val="002011EF"/>
    <w:rsid w:val="00202079"/>
    <w:rsid w:val="002070E7"/>
    <w:rsid w:val="00207123"/>
    <w:rsid w:val="00210C2B"/>
    <w:rsid w:val="00211017"/>
    <w:rsid w:val="002116FA"/>
    <w:rsid w:val="00211E34"/>
    <w:rsid w:val="002127D4"/>
    <w:rsid w:val="00212F6E"/>
    <w:rsid w:val="00214AF4"/>
    <w:rsid w:val="002150CA"/>
    <w:rsid w:val="00216598"/>
    <w:rsid w:val="00216617"/>
    <w:rsid w:val="002170F3"/>
    <w:rsid w:val="00217342"/>
    <w:rsid w:val="00221A73"/>
    <w:rsid w:val="00223D40"/>
    <w:rsid w:val="00223E97"/>
    <w:rsid w:val="0022453B"/>
    <w:rsid w:val="00230D2E"/>
    <w:rsid w:val="00230D5C"/>
    <w:rsid w:val="0023103A"/>
    <w:rsid w:val="0023310A"/>
    <w:rsid w:val="0023353A"/>
    <w:rsid w:val="00233617"/>
    <w:rsid w:val="00235D53"/>
    <w:rsid w:val="0023641D"/>
    <w:rsid w:val="00236FE0"/>
    <w:rsid w:val="00237FD5"/>
    <w:rsid w:val="00242211"/>
    <w:rsid w:val="00242375"/>
    <w:rsid w:val="00242933"/>
    <w:rsid w:val="002435D7"/>
    <w:rsid w:val="0024425D"/>
    <w:rsid w:val="0024501C"/>
    <w:rsid w:val="002458B2"/>
    <w:rsid w:val="00247549"/>
    <w:rsid w:val="0025316D"/>
    <w:rsid w:val="0025412A"/>
    <w:rsid w:val="002557A6"/>
    <w:rsid w:val="00260484"/>
    <w:rsid w:val="00260E6E"/>
    <w:rsid w:val="002615C6"/>
    <w:rsid w:val="00264714"/>
    <w:rsid w:val="0026568C"/>
    <w:rsid w:val="00266575"/>
    <w:rsid w:val="00267155"/>
    <w:rsid w:val="0026744B"/>
    <w:rsid w:val="002678EB"/>
    <w:rsid w:val="002704C7"/>
    <w:rsid w:val="00270A6E"/>
    <w:rsid w:val="00271481"/>
    <w:rsid w:val="00272D1B"/>
    <w:rsid w:val="00273D87"/>
    <w:rsid w:val="00273E30"/>
    <w:rsid w:val="0027576B"/>
    <w:rsid w:val="0027679D"/>
    <w:rsid w:val="00276D9B"/>
    <w:rsid w:val="002776E4"/>
    <w:rsid w:val="00280516"/>
    <w:rsid w:val="00280896"/>
    <w:rsid w:val="002818CA"/>
    <w:rsid w:val="00284D60"/>
    <w:rsid w:val="0028691C"/>
    <w:rsid w:val="00286927"/>
    <w:rsid w:val="002905B0"/>
    <w:rsid w:val="002908F1"/>
    <w:rsid w:val="00290D49"/>
    <w:rsid w:val="002930DC"/>
    <w:rsid w:val="00293876"/>
    <w:rsid w:val="00293D13"/>
    <w:rsid w:val="00294D3E"/>
    <w:rsid w:val="00295634"/>
    <w:rsid w:val="00296812"/>
    <w:rsid w:val="00297175"/>
    <w:rsid w:val="002A032C"/>
    <w:rsid w:val="002A04FE"/>
    <w:rsid w:val="002A27ED"/>
    <w:rsid w:val="002A3BA2"/>
    <w:rsid w:val="002A4A46"/>
    <w:rsid w:val="002A4CAE"/>
    <w:rsid w:val="002A71A5"/>
    <w:rsid w:val="002B2144"/>
    <w:rsid w:val="002B22E6"/>
    <w:rsid w:val="002B38BB"/>
    <w:rsid w:val="002B46F3"/>
    <w:rsid w:val="002B46FB"/>
    <w:rsid w:val="002B59BD"/>
    <w:rsid w:val="002B5D36"/>
    <w:rsid w:val="002B5E16"/>
    <w:rsid w:val="002B5F90"/>
    <w:rsid w:val="002B64E8"/>
    <w:rsid w:val="002B66B1"/>
    <w:rsid w:val="002B789C"/>
    <w:rsid w:val="002C0627"/>
    <w:rsid w:val="002C1811"/>
    <w:rsid w:val="002C2906"/>
    <w:rsid w:val="002C4A86"/>
    <w:rsid w:val="002C70F5"/>
    <w:rsid w:val="002C7596"/>
    <w:rsid w:val="002D054E"/>
    <w:rsid w:val="002D3BBA"/>
    <w:rsid w:val="002D3C97"/>
    <w:rsid w:val="002D418F"/>
    <w:rsid w:val="002D4345"/>
    <w:rsid w:val="002D53C2"/>
    <w:rsid w:val="002D7342"/>
    <w:rsid w:val="002E01A9"/>
    <w:rsid w:val="002E2373"/>
    <w:rsid w:val="002E3094"/>
    <w:rsid w:val="002E51B4"/>
    <w:rsid w:val="002E5284"/>
    <w:rsid w:val="002E54F1"/>
    <w:rsid w:val="002E7AFE"/>
    <w:rsid w:val="002F145B"/>
    <w:rsid w:val="002F23CB"/>
    <w:rsid w:val="002F41AD"/>
    <w:rsid w:val="002F55CB"/>
    <w:rsid w:val="002F65BF"/>
    <w:rsid w:val="002F66E8"/>
    <w:rsid w:val="002F6D17"/>
    <w:rsid w:val="002F70CB"/>
    <w:rsid w:val="002F70CE"/>
    <w:rsid w:val="00302C25"/>
    <w:rsid w:val="00302EFD"/>
    <w:rsid w:val="00304847"/>
    <w:rsid w:val="003052CC"/>
    <w:rsid w:val="00310B1E"/>
    <w:rsid w:val="0031188E"/>
    <w:rsid w:val="00312D6C"/>
    <w:rsid w:val="00313616"/>
    <w:rsid w:val="00313BE7"/>
    <w:rsid w:val="003147DD"/>
    <w:rsid w:val="0031493D"/>
    <w:rsid w:val="0031602F"/>
    <w:rsid w:val="00316424"/>
    <w:rsid w:val="00317A14"/>
    <w:rsid w:val="00317B83"/>
    <w:rsid w:val="00317ED7"/>
    <w:rsid w:val="00321041"/>
    <w:rsid w:val="00321322"/>
    <w:rsid w:val="003239E5"/>
    <w:rsid w:val="00323EC9"/>
    <w:rsid w:val="00327028"/>
    <w:rsid w:val="00331536"/>
    <w:rsid w:val="00331A60"/>
    <w:rsid w:val="00333642"/>
    <w:rsid w:val="00334A4E"/>
    <w:rsid w:val="00336DEC"/>
    <w:rsid w:val="00337ABB"/>
    <w:rsid w:val="003429CA"/>
    <w:rsid w:val="00343782"/>
    <w:rsid w:val="00343D44"/>
    <w:rsid w:val="00344B2C"/>
    <w:rsid w:val="003454D5"/>
    <w:rsid w:val="003460EB"/>
    <w:rsid w:val="00351A5B"/>
    <w:rsid w:val="0035382F"/>
    <w:rsid w:val="0035580D"/>
    <w:rsid w:val="00356062"/>
    <w:rsid w:val="00356D41"/>
    <w:rsid w:val="00360CC4"/>
    <w:rsid w:val="003611D6"/>
    <w:rsid w:val="00363DEE"/>
    <w:rsid w:val="00364024"/>
    <w:rsid w:val="003644AF"/>
    <w:rsid w:val="00365059"/>
    <w:rsid w:val="00370675"/>
    <w:rsid w:val="00371575"/>
    <w:rsid w:val="00371B63"/>
    <w:rsid w:val="00372D36"/>
    <w:rsid w:val="00372FEE"/>
    <w:rsid w:val="003772BE"/>
    <w:rsid w:val="00377646"/>
    <w:rsid w:val="00377D67"/>
    <w:rsid w:val="003847FD"/>
    <w:rsid w:val="00384FB3"/>
    <w:rsid w:val="003852CD"/>
    <w:rsid w:val="00385BD6"/>
    <w:rsid w:val="00385E96"/>
    <w:rsid w:val="00386472"/>
    <w:rsid w:val="00390689"/>
    <w:rsid w:val="00392A76"/>
    <w:rsid w:val="003963A8"/>
    <w:rsid w:val="003977E7"/>
    <w:rsid w:val="00397C30"/>
    <w:rsid w:val="00397DFC"/>
    <w:rsid w:val="003A0121"/>
    <w:rsid w:val="003A0CBE"/>
    <w:rsid w:val="003A1484"/>
    <w:rsid w:val="003A4E29"/>
    <w:rsid w:val="003A5AD6"/>
    <w:rsid w:val="003B0131"/>
    <w:rsid w:val="003B04EE"/>
    <w:rsid w:val="003B5943"/>
    <w:rsid w:val="003B6299"/>
    <w:rsid w:val="003B676E"/>
    <w:rsid w:val="003B6993"/>
    <w:rsid w:val="003B7F1F"/>
    <w:rsid w:val="003C0A1C"/>
    <w:rsid w:val="003C1757"/>
    <w:rsid w:val="003C1873"/>
    <w:rsid w:val="003C1D01"/>
    <w:rsid w:val="003C4713"/>
    <w:rsid w:val="003C50E5"/>
    <w:rsid w:val="003C5292"/>
    <w:rsid w:val="003C546C"/>
    <w:rsid w:val="003C5801"/>
    <w:rsid w:val="003C5929"/>
    <w:rsid w:val="003C6326"/>
    <w:rsid w:val="003C63EC"/>
    <w:rsid w:val="003C6EC1"/>
    <w:rsid w:val="003C7505"/>
    <w:rsid w:val="003D023C"/>
    <w:rsid w:val="003D1B64"/>
    <w:rsid w:val="003D1D5C"/>
    <w:rsid w:val="003D37C7"/>
    <w:rsid w:val="003D4331"/>
    <w:rsid w:val="003D49D8"/>
    <w:rsid w:val="003D5DA5"/>
    <w:rsid w:val="003D6DC9"/>
    <w:rsid w:val="003D74E3"/>
    <w:rsid w:val="003E151E"/>
    <w:rsid w:val="003E1525"/>
    <w:rsid w:val="003E1B5A"/>
    <w:rsid w:val="003E2389"/>
    <w:rsid w:val="003E2800"/>
    <w:rsid w:val="003E660E"/>
    <w:rsid w:val="003E6E93"/>
    <w:rsid w:val="003F067F"/>
    <w:rsid w:val="003F0EEB"/>
    <w:rsid w:val="003F1A42"/>
    <w:rsid w:val="003F306F"/>
    <w:rsid w:val="003F3EAC"/>
    <w:rsid w:val="003F4344"/>
    <w:rsid w:val="003F47FF"/>
    <w:rsid w:val="0040147F"/>
    <w:rsid w:val="0040269A"/>
    <w:rsid w:val="004059CB"/>
    <w:rsid w:val="00405DCD"/>
    <w:rsid w:val="00406E94"/>
    <w:rsid w:val="00410103"/>
    <w:rsid w:val="004108E7"/>
    <w:rsid w:val="00410F95"/>
    <w:rsid w:val="0041188D"/>
    <w:rsid w:val="004123D3"/>
    <w:rsid w:val="00412A02"/>
    <w:rsid w:val="00413A3A"/>
    <w:rsid w:val="00413E08"/>
    <w:rsid w:val="00414783"/>
    <w:rsid w:val="00416178"/>
    <w:rsid w:val="00417901"/>
    <w:rsid w:val="00417E6C"/>
    <w:rsid w:val="00421046"/>
    <w:rsid w:val="00421472"/>
    <w:rsid w:val="00422E83"/>
    <w:rsid w:val="00426E5A"/>
    <w:rsid w:val="004310F4"/>
    <w:rsid w:val="004331B3"/>
    <w:rsid w:val="0043403D"/>
    <w:rsid w:val="004347BC"/>
    <w:rsid w:val="0043570A"/>
    <w:rsid w:val="00435DDA"/>
    <w:rsid w:val="00437593"/>
    <w:rsid w:val="00440324"/>
    <w:rsid w:val="00440F14"/>
    <w:rsid w:val="004412B8"/>
    <w:rsid w:val="0044225B"/>
    <w:rsid w:val="0044248A"/>
    <w:rsid w:val="00442A15"/>
    <w:rsid w:val="00445E68"/>
    <w:rsid w:val="00446E16"/>
    <w:rsid w:val="00447305"/>
    <w:rsid w:val="00450EFF"/>
    <w:rsid w:val="00451698"/>
    <w:rsid w:val="00454497"/>
    <w:rsid w:val="004553B7"/>
    <w:rsid w:val="004557AA"/>
    <w:rsid w:val="00455E0C"/>
    <w:rsid w:val="00455EE9"/>
    <w:rsid w:val="00457611"/>
    <w:rsid w:val="00457A72"/>
    <w:rsid w:val="00461D7A"/>
    <w:rsid w:val="00463758"/>
    <w:rsid w:val="0046500E"/>
    <w:rsid w:val="00465BFC"/>
    <w:rsid w:val="00465F3F"/>
    <w:rsid w:val="00466C0E"/>
    <w:rsid w:val="00466CBD"/>
    <w:rsid w:val="00467446"/>
    <w:rsid w:val="00470257"/>
    <w:rsid w:val="004705AF"/>
    <w:rsid w:val="00471A2D"/>
    <w:rsid w:val="004722F5"/>
    <w:rsid w:val="00472B88"/>
    <w:rsid w:val="00473189"/>
    <w:rsid w:val="004731C8"/>
    <w:rsid w:val="004747D5"/>
    <w:rsid w:val="004757FC"/>
    <w:rsid w:val="00477B49"/>
    <w:rsid w:val="00480BCE"/>
    <w:rsid w:val="00481054"/>
    <w:rsid w:val="00481223"/>
    <w:rsid w:val="00481D84"/>
    <w:rsid w:val="0048266F"/>
    <w:rsid w:val="00482FD3"/>
    <w:rsid w:val="0048492F"/>
    <w:rsid w:val="00486DDE"/>
    <w:rsid w:val="00487FCE"/>
    <w:rsid w:val="004900BE"/>
    <w:rsid w:val="004916A6"/>
    <w:rsid w:val="00492384"/>
    <w:rsid w:val="00492DAC"/>
    <w:rsid w:val="00492E39"/>
    <w:rsid w:val="004934C4"/>
    <w:rsid w:val="004937CD"/>
    <w:rsid w:val="00494C38"/>
    <w:rsid w:val="00494CB1"/>
    <w:rsid w:val="00495BFD"/>
    <w:rsid w:val="00495E9A"/>
    <w:rsid w:val="00496DA0"/>
    <w:rsid w:val="00497AF5"/>
    <w:rsid w:val="004A0C8D"/>
    <w:rsid w:val="004A1275"/>
    <w:rsid w:val="004A214E"/>
    <w:rsid w:val="004A5642"/>
    <w:rsid w:val="004A6B30"/>
    <w:rsid w:val="004A7CC6"/>
    <w:rsid w:val="004B0AC8"/>
    <w:rsid w:val="004B0F02"/>
    <w:rsid w:val="004B1169"/>
    <w:rsid w:val="004B17F0"/>
    <w:rsid w:val="004B22CB"/>
    <w:rsid w:val="004B2E31"/>
    <w:rsid w:val="004B591E"/>
    <w:rsid w:val="004C0A22"/>
    <w:rsid w:val="004C0CEA"/>
    <w:rsid w:val="004C23BF"/>
    <w:rsid w:val="004C306A"/>
    <w:rsid w:val="004C32D7"/>
    <w:rsid w:val="004C35CB"/>
    <w:rsid w:val="004C39EF"/>
    <w:rsid w:val="004C447C"/>
    <w:rsid w:val="004C6255"/>
    <w:rsid w:val="004C6789"/>
    <w:rsid w:val="004C7334"/>
    <w:rsid w:val="004C7339"/>
    <w:rsid w:val="004C777E"/>
    <w:rsid w:val="004C7842"/>
    <w:rsid w:val="004C7B79"/>
    <w:rsid w:val="004D0BD8"/>
    <w:rsid w:val="004D3D57"/>
    <w:rsid w:val="004D55CC"/>
    <w:rsid w:val="004D5EA5"/>
    <w:rsid w:val="004D620D"/>
    <w:rsid w:val="004D6365"/>
    <w:rsid w:val="004D64B3"/>
    <w:rsid w:val="004E146F"/>
    <w:rsid w:val="004E2D0A"/>
    <w:rsid w:val="004E344E"/>
    <w:rsid w:val="004E46EC"/>
    <w:rsid w:val="004E56F1"/>
    <w:rsid w:val="004E5CB6"/>
    <w:rsid w:val="004E5FEA"/>
    <w:rsid w:val="004E6807"/>
    <w:rsid w:val="004F06DA"/>
    <w:rsid w:val="004F1EC8"/>
    <w:rsid w:val="004F2A76"/>
    <w:rsid w:val="004F4448"/>
    <w:rsid w:val="004F4EDC"/>
    <w:rsid w:val="004F5754"/>
    <w:rsid w:val="004F625C"/>
    <w:rsid w:val="004F7180"/>
    <w:rsid w:val="004F71E5"/>
    <w:rsid w:val="00501BEF"/>
    <w:rsid w:val="00502ED2"/>
    <w:rsid w:val="005048C0"/>
    <w:rsid w:val="0050641E"/>
    <w:rsid w:val="00506F8F"/>
    <w:rsid w:val="005072B9"/>
    <w:rsid w:val="00511232"/>
    <w:rsid w:val="00511AE3"/>
    <w:rsid w:val="00512167"/>
    <w:rsid w:val="00512176"/>
    <w:rsid w:val="005121EF"/>
    <w:rsid w:val="00513DCA"/>
    <w:rsid w:val="00513E23"/>
    <w:rsid w:val="00513F0C"/>
    <w:rsid w:val="0051439B"/>
    <w:rsid w:val="0051649F"/>
    <w:rsid w:val="005263BE"/>
    <w:rsid w:val="00527BFA"/>
    <w:rsid w:val="00532B29"/>
    <w:rsid w:val="0053435F"/>
    <w:rsid w:val="005345CC"/>
    <w:rsid w:val="00534B77"/>
    <w:rsid w:val="00540574"/>
    <w:rsid w:val="0054389D"/>
    <w:rsid w:val="0054395B"/>
    <w:rsid w:val="00543A6B"/>
    <w:rsid w:val="00543E5B"/>
    <w:rsid w:val="00544475"/>
    <w:rsid w:val="005447BD"/>
    <w:rsid w:val="00546343"/>
    <w:rsid w:val="00546A07"/>
    <w:rsid w:val="005502B2"/>
    <w:rsid w:val="0055186A"/>
    <w:rsid w:val="00551D14"/>
    <w:rsid w:val="005536FB"/>
    <w:rsid w:val="00553AD0"/>
    <w:rsid w:val="005551A3"/>
    <w:rsid w:val="00555E62"/>
    <w:rsid w:val="00562612"/>
    <w:rsid w:val="005626AD"/>
    <w:rsid w:val="00565D09"/>
    <w:rsid w:val="00566FA8"/>
    <w:rsid w:val="00567716"/>
    <w:rsid w:val="00570C48"/>
    <w:rsid w:val="00571480"/>
    <w:rsid w:val="0057258C"/>
    <w:rsid w:val="005772D7"/>
    <w:rsid w:val="005774C5"/>
    <w:rsid w:val="00580844"/>
    <w:rsid w:val="0058101B"/>
    <w:rsid w:val="00581B06"/>
    <w:rsid w:val="00581D5B"/>
    <w:rsid w:val="0058663E"/>
    <w:rsid w:val="00590BA2"/>
    <w:rsid w:val="00592B77"/>
    <w:rsid w:val="005936E7"/>
    <w:rsid w:val="005944A0"/>
    <w:rsid w:val="00594B6D"/>
    <w:rsid w:val="00595730"/>
    <w:rsid w:val="00595CD4"/>
    <w:rsid w:val="00596E4E"/>
    <w:rsid w:val="005A0DE4"/>
    <w:rsid w:val="005A1EEA"/>
    <w:rsid w:val="005A401A"/>
    <w:rsid w:val="005A67BE"/>
    <w:rsid w:val="005A75EC"/>
    <w:rsid w:val="005A79B1"/>
    <w:rsid w:val="005B0F21"/>
    <w:rsid w:val="005B1EEC"/>
    <w:rsid w:val="005B2287"/>
    <w:rsid w:val="005B27E9"/>
    <w:rsid w:val="005B3385"/>
    <w:rsid w:val="005B5C82"/>
    <w:rsid w:val="005B7353"/>
    <w:rsid w:val="005B76A6"/>
    <w:rsid w:val="005C049F"/>
    <w:rsid w:val="005C0859"/>
    <w:rsid w:val="005C34E2"/>
    <w:rsid w:val="005C45FF"/>
    <w:rsid w:val="005C4BB5"/>
    <w:rsid w:val="005D0635"/>
    <w:rsid w:val="005D1071"/>
    <w:rsid w:val="005D3BB6"/>
    <w:rsid w:val="005D44AE"/>
    <w:rsid w:val="005D4501"/>
    <w:rsid w:val="005D4C65"/>
    <w:rsid w:val="005D55DB"/>
    <w:rsid w:val="005D66B5"/>
    <w:rsid w:val="005E0434"/>
    <w:rsid w:val="005E150C"/>
    <w:rsid w:val="005E2025"/>
    <w:rsid w:val="005E20D6"/>
    <w:rsid w:val="005E22DE"/>
    <w:rsid w:val="005E2C02"/>
    <w:rsid w:val="005E39A0"/>
    <w:rsid w:val="005E3EB2"/>
    <w:rsid w:val="005E46A0"/>
    <w:rsid w:val="005E50F3"/>
    <w:rsid w:val="005E6685"/>
    <w:rsid w:val="005E6DFB"/>
    <w:rsid w:val="005E6FE7"/>
    <w:rsid w:val="005F1438"/>
    <w:rsid w:val="005F22D7"/>
    <w:rsid w:val="005F42DF"/>
    <w:rsid w:val="005F5618"/>
    <w:rsid w:val="005F5A8C"/>
    <w:rsid w:val="005F5E19"/>
    <w:rsid w:val="005F5E36"/>
    <w:rsid w:val="00600383"/>
    <w:rsid w:val="0060044B"/>
    <w:rsid w:val="006008C1"/>
    <w:rsid w:val="006028EB"/>
    <w:rsid w:val="0061054E"/>
    <w:rsid w:val="006109E8"/>
    <w:rsid w:val="00611312"/>
    <w:rsid w:val="00611FFB"/>
    <w:rsid w:val="00614253"/>
    <w:rsid w:val="00615544"/>
    <w:rsid w:val="00615639"/>
    <w:rsid w:val="00615ABB"/>
    <w:rsid w:val="006167FD"/>
    <w:rsid w:val="00620ACE"/>
    <w:rsid w:val="00622D26"/>
    <w:rsid w:val="00623275"/>
    <w:rsid w:val="0062439D"/>
    <w:rsid w:val="00625375"/>
    <w:rsid w:val="00625B35"/>
    <w:rsid w:val="00627F25"/>
    <w:rsid w:val="006300A4"/>
    <w:rsid w:val="0063033E"/>
    <w:rsid w:val="0063046F"/>
    <w:rsid w:val="006309B1"/>
    <w:rsid w:val="0063112C"/>
    <w:rsid w:val="0063340D"/>
    <w:rsid w:val="006334BC"/>
    <w:rsid w:val="00635D5C"/>
    <w:rsid w:val="00636FAE"/>
    <w:rsid w:val="00640F3B"/>
    <w:rsid w:val="00641283"/>
    <w:rsid w:val="00642115"/>
    <w:rsid w:val="00644D55"/>
    <w:rsid w:val="006458E2"/>
    <w:rsid w:val="00646978"/>
    <w:rsid w:val="00646DD2"/>
    <w:rsid w:val="00650501"/>
    <w:rsid w:val="006513EB"/>
    <w:rsid w:val="00651819"/>
    <w:rsid w:val="00652FC7"/>
    <w:rsid w:val="00653DFA"/>
    <w:rsid w:val="00655548"/>
    <w:rsid w:val="00656330"/>
    <w:rsid w:val="006572A1"/>
    <w:rsid w:val="006606C4"/>
    <w:rsid w:val="006627B9"/>
    <w:rsid w:val="00663BF3"/>
    <w:rsid w:val="00663E44"/>
    <w:rsid w:val="006666C6"/>
    <w:rsid w:val="00666A7F"/>
    <w:rsid w:val="00666FF1"/>
    <w:rsid w:val="00667CC6"/>
    <w:rsid w:val="00667D77"/>
    <w:rsid w:val="00671736"/>
    <w:rsid w:val="00672E77"/>
    <w:rsid w:val="00673541"/>
    <w:rsid w:val="00673697"/>
    <w:rsid w:val="00673D9E"/>
    <w:rsid w:val="00677D04"/>
    <w:rsid w:val="00683699"/>
    <w:rsid w:val="006836EA"/>
    <w:rsid w:val="00685965"/>
    <w:rsid w:val="00686399"/>
    <w:rsid w:val="00686CDF"/>
    <w:rsid w:val="00687185"/>
    <w:rsid w:val="00687C07"/>
    <w:rsid w:val="00687C50"/>
    <w:rsid w:val="00687E96"/>
    <w:rsid w:val="00690C3E"/>
    <w:rsid w:val="006923AF"/>
    <w:rsid w:val="0069309B"/>
    <w:rsid w:val="0069595B"/>
    <w:rsid w:val="0069614C"/>
    <w:rsid w:val="006A1209"/>
    <w:rsid w:val="006A29AA"/>
    <w:rsid w:val="006A473E"/>
    <w:rsid w:val="006A709A"/>
    <w:rsid w:val="006A76C3"/>
    <w:rsid w:val="006B04F2"/>
    <w:rsid w:val="006B37C9"/>
    <w:rsid w:val="006B5242"/>
    <w:rsid w:val="006B5EE9"/>
    <w:rsid w:val="006C254F"/>
    <w:rsid w:val="006C2559"/>
    <w:rsid w:val="006C2AB2"/>
    <w:rsid w:val="006C2E77"/>
    <w:rsid w:val="006C2E95"/>
    <w:rsid w:val="006C3FD7"/>
    <w:rsid w:val="006C43F3"/>
    <w:rsid w:val="006C4920"/>
    <w:rsid w:val="006C7092"/>
    <w:rsid w:val="006D1F34"/>
    <w:rsid w:val="006D2B46"/>
    <w:rsid w:val="006D4A87"/>
    <w:rsid w:val="006D6702"/>
    <w:rsid w:val="006D7AA2"/>
    <w:rsid w:val="006E174B"/>
    <w:rsid w:val="006E2A48"/>
    <w:rsid w:val="006E3B1A"/>
    <w:rsid w:val="006E4464"/>
    <w:rsid w:val="006E60C1"/>
    <w:rsid w:val="006F1C2B"/>
    <w:rsid w:val="006F3BEA"/>
    <w:rsid w:val="006F59FE"/>
    <w:rsid w:val="006F5EAF"/>
    <w:rsid w:val="006F60DC"/>
    <w:rsid w:val="006F6711"/>
    <w:rsid w:val="006F6CA4"/>
    <w:rsid w:val="00700877"/>
    <w:rsid w:val="00700CEB"/>
    <w:rsid w:val="00705D73"/>
    <w:rsid w:val="00710BB8"/>
    <w:rsid w:val="00711482"/>
    <w:rsid w:val="007122A2"/>
    <w:rsid w:val="007145CC"/>
    <w:rsid w:val="00714EDC"/>
    <w:rsid w:val="00715A6C"/>
    <w:rsid w:val="007175AF"/>
    <w:rsid w:val="00717C20"/>
    <w:rsid w:val="00720508"/>
    <w:rsid w:val="0072670E"/>
    <w:rsid w:val="00730A6F"/>
    <w:rsid w:val="00730C46"/>
    <w:rsid w:val="0073267D"/>
    <w:rsid w:val="00732E1A"/>
    <w:rsid w:val="00733D01"/>
    <w:rsid w:val="00735BBD"/>
    <w:rsid w:val="00736015"/>
    <w:rsid w:val="0073664A"/>
    <w:rsid w:val="0073673E"/>
    <w:rsid w:val="00740478"/>
    <w:rsid w:val="00741250"/>
    <w:rsid w:val="007417AB"/>
    <w:rsid w:val="00741976"/>
    <w:rsid w:val="00742349"/>
    <w:rsid w:val="00743AF6"/>
    <w:rsid w:val="007441AD"/>
    <w:rsid w:val="00744877"/>
    <w:rsid w:val="0074534E"/>
    <w:rsid w:val="00750653"/>
    <w:rsid w:val="0075131E"/>
    <w:rsid w:val="00751C82"/>
    <w:rsid w:val="00752D3F"/>
    <w:rsid w:val="00753793"/>
    <w:rsid w:val="007537FF"/>
    <w:rsid w:val="00753AB8"/>
    <w:rsid w:val="00754EB6"/>
    <w:rsid w:val="007551B1"/>
    <w:rsid w:val="00755ADD"/>
    <w:rsid w:val="00756DCE"/>
    <w:rsid w:val="0075743E"/>
    <w:rsid w:val="0075749D"/>
    <w:rsid w:val="00760C34"/>
    <w:rsid w:val="0076220C"/>
    <w:rsid w:val="00762913"/>
    <w:rsid w:val="00762950"/>
    <w:rsid w:val="00764CF5"/>
    <w:rsid w:val="007658A2"/>
    <w:rsid w:val="007670E0"/>
    <w:rsid w:val="00771D4C"/>
    <w:rsid w:val="0077355B"/>
    <w:rsid w:val="00773D9B"/>
    <w:rsid w:val="00773DCA"/>
    <w:rsid w:val="007750C5"/>
    <w:rsid w:val="007777B8"/>
    <w:rsid w:val="00780964"/>
    <w:rsid w:val="00781CE5"/>
    <w:rsid w:val="00781EB0"/>
    <w:rsid w:val="007846AE"/>
    <w:rsid w:val="00784D2C"/>
    <w:rsid w:val="00786825"/>
    <w:rsid w:val="00786A61"/>
    <w:rsid w:val="00786F25"/>
    <w:rsid w:val="00786F6D"/>
    <w:rsid w:val="007875B5"/>
    <w:rsid w:val="00787776"/>
    <w:rsid w:val="00791863"/>
    <w:rsid w:val="00791A7C"/>
    <w:rsid w:val="007927A5"/>
    <w:rsid w:val="00793F09"/>
    <w:rsid w:val="007942C7"/>
    <w:rsid w:val="00794A92"/>
    <w:rsid w:val="00795DD6"/>
    <w:rsid w:val="007965CB"/>
    <w:rsid w:val="007A212E"/>
    <w:rsid w:val="007A234B"/>
    <w:rsid w:val="007A3430"/>
    <w:rsid w:val="007A3537"/>
    <w:rsid w:val="007A4B12"/>
    <w:rsid w:val="007A7437"/>
    <w:rsid w:val="007A780C"/>
    <w:rsid w:val="007B02F6"/>
    <w:rsid w:val="007B04A5"/>
    <w:rsid w:val="007B3744"/>
    <w:rsid w:val="007B3790"/>
    <w:rsid w:val="007B45E7"/>
    <w:rsid w:val="007B638A"/>
    <w:rsid w:val="007B68AB"/>
    <w:rsid w:val="007B7B91"/>
    <w:rsid w:val="007B7F00"/>
    <w:rsid w:val="007C1004"/>
    <w:rsid w:val="007C12C8"/>
    <w:rsid w:val="007C176B"/>
    <w:rsid w:val="007C21A0"/>
    <w:rsid w:val="007C2883"/>
    <w:rsid w:val="007C3EF3"/>
    <w:rsid w:val="007C60F8"/>
    <w:rsid w:val="007D1AAC"/>
    <w:rsid w:val="007D1ABF"/>
    <w:rsid w:val="007D3080"/>
    <w:rsid w:val="007D4164"/>
    <w:rsid w:val="007D49B9"/>
    <w:rsid w:val="007D4FEE"/>
    <w:rsid w:val="007D51C1"/>
    <w:rsid w:val="007D5355"/>
    <w:rsid w:val="007D5C96"/>
    <w:rsid w:val="007D5CA0"/>
    <w:rsid w:val="007D6876"/>
    <w:rsid w:val="007D757D"/>
    <w:rsid w:val="007D7622"/>
    <w:rsid w:val="007D7C02"/>
    <w:rsid w:val="007E2450"/>
    <w:rsid w:val="007E30FA"/>
    <w:rsid w:val="007E353F"/>
    <w:rsid w:val="007E7425"/>
    <w:rsid w:val="007E783D"/>
    <w:rsid w:val="007E7EDB"/>
    <w:rsid w:val="007F0229"/>
    <w:rsid w:val="007F0CCA"/>
    <w:rsid w:val="007F0D1F"/>
    <w:rsid w:val="007F172B"/>
    <w:rsid w:val="007F2923"/>
    <w:rsid w:val="007F2E03"/>
    <w:rsid w:val="007F3F38"/>
    <w:rsid w:val="007F4576"/>
    <w:rsid w:val="007F4D5B"/>
    <w:rsid w:val="007F5C42"/>
    <w:rsid w:val="007F7CDE"/>
    <w:rsid w:val="00800265"/>
    <w:rsid w:val="0080267A"/>
    <w:rsid w:val="0080292C"/>
    <w:rsid w:val="00802E2D"/>
    <w:rsid w:val="00804243"/>
    <w:rsid w:val="008049AB"/>
    <w:rsid w:val="008055BF"/>
    <w:rsid w:val="008074D5"/>
    <w:rsid w:val="0081050A"/>
    <w:rsid w:val="008110C0"/>
    <w:rsid w:val="008134C0"/>
    <w:rsid w:val="00814125"/>
    <w:rsid w:val="008151F6"/>
    <w:rsid w:val="0081796C"/>
    <w:rsid w:val="00817992"/>
    <w:rsid w:val="00817CD1"/>
    <w:rsid w:val="00822A1C"/>
    <w:rsid w:val="00822C6A"/>
    <w:rsid w:val="00825916"/>
    <w:rsid w:val="008267ED"/>
    <w:rsid w:val="00833749"/>
    <w:rsid w:val="0083391E"/>
    <w:rsid w:val="008350A8"/>
    <w:rsid w:val="00835131"/>
    <w:rsid w:val="008364FB"/>
    <w:rsid w:val="008366B9"/>
    <w:rsid w:val="00836D11"/>
    <w:rsid w:val="00842073"/>
    <w:rsid w:val="008436F4"/>
    <w:rsid w:val="00843CAE"/>
    <w:rsid w:val="00844108"/>
    <w:rsid w:val="008447C2"/>
    <w:rsid w:val="008464B1"/>
    <w:rsid w:val="00846EE3"/>
    <w:rsid w:val="008474FD"/>
    <w:rsid w:val="00847D98"/>
    <w:rsid w:val="008502A2"/>
    <w:rsid w:val="008517C7"/>
    <w:rsid w:val="008518E9"/>
    <w:rsid w:val="00852F65"/>
    <w:rsid w:val="008535BA"/>
    <w:rsid w:val="008558D9"/>
    <w:rsid w:val="00855BB3"/>
    <w:rsid w:val="00855D01"/>
    <w:rsid w:val="00856103"/>
    <w:rsid w:val="00857047"/>
    <w:rsid w:val="008600AC"/>
    <w:rsid w:val="00860324"/>
    <w:rsid w:val="008609E5"/>
    <w:rsid w:val="008611A8"/>
    <w:rsid w:val="00861B40"/>
    <w:rsid w:val="008624C2"/>
    <w:rsid w:val="00862ED3"/>
    <w:rsid w:val="008638A1"/>
    <w:rsid w:val="00864960"/>
    <w:rsid w:val="00864ACE"/>
    <w:rsid w:val="00864C0A"/>
    <w:rsid w:val="0086573A"/>
    <w:rsid w:val="00867435"/>
    <w:rsid w:val="008731F4"/>
    <w:rsid w:val="00873919"/>
    <w:rsid w:val="00874CF6"/>
    <w:rsid w:val="00876991"/>
    <w:rsid w:val="008801E9"/>
    <w:rsid w:val="00880900"/>
    <w:rsid w:val="008812FB"/>
    <w:rsid w:val="00882A30"/>
    <w:rsid w:val="0088340A"/>
    <w:rsid w:val="008835A8"/>
    <w:rsid w:val="008849FF"/>
    <w:rsid w:val="00885340"/>
    <w:rsid w:val="00885CBF"/>
    <w:rsid w:val="00886021"/>
    <w:rsid w:val="008903E0"/>
    <w:rsid w:val="00892587"/>
    <w:rsid w:val="00893D6A"/>
    <w:rsid w:val="0089598C"/>
    <w:rsid w:val="00897717"/>
    <w:rsid w:val="00897F21"/>
    <w:rsid w:val="008A05B0"/>
    <w:rsid w:val="008A0D18"/>
    <w:rsid w:val="008A4434"/>
    <w:rsid w:val="008A6387"/>
    <w:rsid w:val="008B1E74"/>
    <w:rsid w:val="008B3A73"/>
    <w:rsid w:val="008B3DCE"/>
    <w:rsid w:val="008B4699"/>
    <w:rsid w:val="008B50EE"/>
    <w:rsid w:val="008B5495"/>
    <w:rsid w:val="008C1385"/>
    <w:rsid w:val="008C18CF"/>
    <w:rsid w:val="008C349B"/>
    <w:rsid w:val="008C4005"/>
    <w:rsid w:val="008C4982"/>
    <w:rsid w:val="008D0345"/>
    <w:rsid w:val="008D16B6"/>
    <w:rsid w:val="008D247A"/>
    <w:rsid w:val="008D4BCB"/>
    <w:rsid w:val="008D5BFB"/>
    <w:rsid w:val="008D6928"/>
    <w:rsid w:val="008D726D"/>
    <w:rsid w:val="008E0A1A"/>
    <w:rsid w:val="008E1CA3"/>
    <w:rsid w:val="008E381C"/>
    <w:rsid w:val="008E416B"/>
    <w:rsid w:val="008E4D33"/>
    <w:rsid w:val="008E554A"/>
    <w:rsid w:val="008E7547"/>
    <w:rsid w:val="008E7F64"/>
    <w:rsid w:val="008F2C57"/>
    <w:rsid w:val="008F2EFB"/>
    <w:rsid w:val="008F3236"/>
    <w:rsid w:val="008F3791"/>
    <w:rsid w:val="008F3C9E"/>
    <w:rsid w:val="008F4534"/>
    <w:rsid w:val="008F4802"/>
    <w:rsid w:val="008F5572"/>
    <w:rsid w:val="008F6288"/>
    <w:rsid w:val="008F71E7"/>
    <w:rsid w:val="00902274"/>
    <w:rsid w:val="00902B5F"/>
    <w:rsid w:val="00903311"/>
    <w:rsid w:val="009046F3"/>
    <w:rsid w:val="00905098"/>
    <w:rsid w:val="00905394"/>
    <w:rsid w:val="009059DE"/>
    <w:rsid w:val="00905EA8"/>
    <w:rsid w:val="00905EEF"/>
    <w:rsid w:val="00906411"/>
    <w:rsid w:val="00906585"/>
    <w:rsid w:val="009101A0"/>
    <w:rsid w:val="009111BB"/>
    <w:rsid w:val="0091291B"/>
    <w:rsid w:val="00912F9E"/>
    <w:rsid w:val="009146EB"/>
    <w:rsid w:val="0091605C"/>
    <w:rsid w:val="00916DBB"/>
    <w:rsid w:val="00923098"/>
    <w:rsid w:val="00923473"/>
    <w:rsid w:val="009239B9"/>
    <w:rsid w:val="00923DD7"/>
    <w:rsid w:val="00925024"/>
    <w:rsid w:val="0092575D"/>
    <w:rsid w:val="00934941"/>
    <w:rsid w:val="00936A41"/>
    <w:rsid w:val="009377AF"/>
    <w:rsid w:val="009411FE"/>
    <w:rsid w:val="009418F6"/>
    <w:rsid w:val="0094502B"/>
    <w:rsid w:val="00945B8C"/>
    <w:rsid w:val="0094727E"/>
    <w:rsid w:val="009473E6"/>
    <w:rsid w:val="00952FCC"/>
    <w:rsid w:val="009545BA"/>
    <w:rsid w:val="009565E1"/>
    <w:rsid w:val="00956E77"/>
    <w:rsid w:val="00957F31"/>
    <w:rsid w:val="009607FB"/>
    <w:rsid w:val="00960963"/>
    <w:rsid w:val="00963C24"/>
    <w:rsid w:val="009659B5"/>
    <w:rsid w:val="00965F0B"/>
    <w:rsid w:val="0096609B"/>
    <w:rsid w:val="00966A1A"/>
    <w:rsid w:val="00966B43"/>
    <w:rsid w:val="0096705C"/>
    <w:rsid w:val="00967AB8"/>
    <w:rsid w:val="00970628"/>
    <w:rsid w:val="00970AC5"/>
    <w:rsid w:val="009728F3"/>
    <w:rsid w:val="00973D14"/>
    <w:rsid w:val="00974914"/>
    <w:rsid w:val="00975919"/>
    <w:rsid w:val="00975B58"/>
    <w:rsid w:val="00976B8C"/>
    <w:rsid w:val="00977441"/>
    <w:rsid w:val="00980366"/>
    <w:rsid w:val="00980556"/>
    <w:rsid w:val="009820B2"/>
    <w:rsid w:val="00982171"/>
    <w:rsid w:val="009822B9"/>
    <w:rsid w:val="0098264C"/>
    <w:rsid w:val="009829EC"/>
    <w:rsid w:val="00984BAE"/>
    <w:rsid w:val="00984D2E"/>
    <w:rsid w:val="00986280"/>
    <w:rsid w:val="0098658E"/>
    <w:rsid w:val="009869CB"/>
    <w:rsid w:val="00987A23"/>
    <w:rsid w:val="009911CE"/>
    <w:rsid w:val="009915B8"/>
    <w:rsid w:val="00992250"/>
    <w:rsid w:val="00992576"/>
    <w:rsid w:val="00993604"/>
    <w:rsid w:val="00993681"/>
    <w:rsid w:val="00993DCF"/>
    <w:rsid w:val="0099420D"/>
    <w:rsid w:val="00994E12"/>
    <w:rsid w:val="0099567F"/>
    <w:rsid w:val="009957A9"/>
    <w:rsid w:val="00996708"/>
    <w:rsid w:val="00997FE2"/>
    <w:rsid w:val="009A015F"/>
    <w:rsid w:val="009A0F70"/>
    <w:rsid w:val="009A108C"/>
    <w:rsid w:val="009A11B6"/>
    <w:rsid w:val="009A183E"/>
    <w:rsid w:val="009A415A"/>
    <w:rsid w:val="009A4584"/>
    <w:rsid w:val="009A4B93"/>
    <w:rsid w:val="009A4EBA"/>
    <w:rsid w:val="009A530A"/>
    <w:rsid w:val="009A6264"/>
    <w:rsid w:val="009A6CAF"/>
    <w:rsid w:val="009A7288"/>
    <w:rsid w:val="009A7A33"/>
    <w:rsid w:val="009B30FA"/>
    <w:rsid w:val="009B5369"/>
    <w:rsid w:val="009B64E8"/>
    <w:rsid w:val="009B7063"/>
    <w:rsid w:val="009C05D6"/>
    <w:rsid w:val="009C0FE4"/>
    <w:rsid w:val="009C1534"/>
    <w:rsid w:val="009C41E1"/>
    <w:rsid w:val="009C4736"/>
    <w:rsid w:val="009C692D"/>
    <w:rsid w:val="009D076E"/>
    <w:rsid w:val="009D17F3"/>
    <w:rsid w:val="009D1ED5"/>
    <w:rsid w:val="009D2077"/>
    <w:rsid w:val="009D4A31"/>
    <w:rsid w:val="009D4CB3"/>
    <w:rsid w:val="009D50EA"/>
    <w:rsid w:val="009D52A5"/>
    <w:rsid w:val="009D63B0"/>
    <w:rsid w:val="009D65E3"/>
    <w:rsid w:val="009D7282"/>
    <w:rsid w:val="009E059C"/>
    <w:rsid w:val="009E4627"/>
    <w:rsid w:val="009E5034"/>
    <w:rsid w:val="009F10BA"/>
    <w:rsid w:val="009F254B"/>
    <w:rsid w:val="009F3220"/>
    <w:rsid w:val="009F3FCB"/>
    <w:rsid w:val="00A01569"/>
    <w:rsid w:val="00A03838"/>
    <w:rsid w:val="00A03873"/>
    <w:rsid w:val="00A05BBB"/>
    <w:rsid w:val="00A05C57"/>
    <w:rsid w:val="00A124C7"/>
    <w:rsid w:val="00A13055"/>
    <w:rsid w:val="00A15CD7"/>
    <w:rsid w:val="00A16E14"/>
    <w:rsid w:val="00A21307"/>
    <w:rsid w:val="00A21395"/>
    <w:rsid w:val="00A21EEE"/>
    <w:rsid w:val="00A2215E"/>
    <w:rsid w:val="00A229B1"/>
    <w:rsid w:val="00A22EB5"/>
    <w:rsid w:val="00A24794"/>
    <w:rsid w:val="00A27137"/>
    <w:rsid w:val="00A30E2B"/>
    <w:rsid w:val="00A31396"/>
    <w:rsid w:val="00A31ACD"/>
    <w:rsid w:val="00A31F51"/>
    <w:rsid w:val="00A3218F"/>
    <w:rsid w:val="00A32C8F"/>
    <w:rsid w:val="00A34081"/>
    <w:rsid w:val="00A341CF"/>
    <w:rsid w:val="00A34372"/>
    <w:rsid w:val="00A3644D"/>
    <w:rsid w:val="00A367A3"/>
    <w:rsid w:val="00A37242"/>
    <w:rsid w:val="00A40E97"/>
    <w:rsid w:val="00A412B9"/>
    <w:rsid w:val="00A41582"/>
    <w:rsid w:val="00A419E7"/>
    <w:rsid w:val="00A41B3A"/>
    <w:rsid w:val="00A41E62"/>
    <w:rsid w:val="00A43C65"/>
    <w:rsid w:val="00A4692A"/>
    <w:rsid w:val="00A50084"/>
    <w:rsid w:val="00A501F1"/>
    <w:rsid w:val="00A50246"/>
    <w:rsid w:val="00A50BF9"/>
    <w:rsid w:val="00A50C96"/>
    <w:rsid w:val="00A51B7B"/>
    <w:rsid w:val="00A531E6"/>
    <w:rsid w:val="00A53E6B"/>
    <w:rsid w:val="00A54497"/>
    <w:rsid w:val="00A62320"/>
    <w:rsid w:val="00A62738"/>
    <w:rsid w:val="00A62FD2"/>
    <w:rsid w:val="00A630E0"/>
    <w:rsid w:val="00A6344D"/>
    <w:rsid w:val="00A63BF8"/>
    <w:rsid w:val="00A6466F"/>
    <w:rsid w:val="00A649E3"/>
    <w:rsid w:val="00A66CC8"/>
    <w:rsid w:val="00A674DA"/>
    <w:rsid w:val="00A73B4A"/>
    <w:rsid w:val="00A74A00"/>
    <w:rsid w:val="00A74D83"/>
    <w:rsid w:val="00A76BB0"/>
    <w:rsid w:val="00A76DDF"/>
    <w:rsid w:val="00A76E71"/>
    <w:rsid w:val="00A76EDF"/>
    <w:rsid w:val="00A773C7"/>
    <w:rsid w:val="00A7785F"/>
    <w:rsid w:val="00A77F2A"/>
    <w:rsid w:val="00A81142"/>
    <w:rsid w:val="00A83F1A"/>
    <w:rsid w:val="00A84D4E"/>
    <w:rsid w:val="00A86576"/>
    <w:rsid w:val="00A86587"/>
    <w:rsid w:val="00A86801"/>
    <w:rsid w:val="00A86CB2"/>
    <w:rsid w:val="00A86E67"/>
    <w:rsid w:val="00A871CF"/>
    <w:rsid w:val="00A87AB5"/>
    <w:rsid w:val="00A9363C"/>
    <w:rsid w:val="00A94988"/>
    <w:rsid w:val="00A950A5"/>
    <w:rsid w:val="00A95C80"/>
    <w:rsid w:val="00A96202"/>
    <w:rsid w:val="00A96A55"/>
    <w:rsid w:val="00A96AA4"/>
    <w:rsid w:val="00A9722C"/>
    <w:rsid w:val="00AA2801"/>
    <w:rsid w:val="00AA2B39"/>
    <w:rsid w:val="00AA3723"/>
    <w:rsid w:val="00AA548D"/>
    <w:rsid w:val="00AA5542"/>
    <w:rsid w:val="00AA5783"/>
    <w:rsid w:val="00AA5DD0"/>
    <w:rsid w:val="00AA6EAE"/>
    <w:rsid w:val="00AA78C4"/>
    <w:rsid w:val="00AB02BF"/>
    <w:rsid w:val="00AB04E3"/>
    <w:rsid w:val="00AB14F4"/>
    <w:rsid w:val="00AB2EEF"/>
    <w:rsid w:val="00AB507E"/>
    <w:rsid w:val="00AB5364"/>
    <w:rsid w:val="00AB5456"/>
    <w:rsid w:val="00AB5566"/>
    <w:rsid w:val="00AC1DC6"/>
    <w:rsid w:val="00AC2AC5"/>
    <w:rsid w:val="00AC56FF"/>
    <w:rsid w:val="00AC5CF3"/>
    <w:rsid w:val="00AC63DE"/>
    <w:rsid w:val="00AC6CAB"/>
    <w:rsid w:val="00AC7B7E"/>
    <w:rsid w:val="00AD2B7B"/>
    <w:rsid w:val="00AD4A86"/>
    <w:rsid w:val="00AD5091"/>
    <w:rsid w:val="00AD5EBF"/>
    <w:rsid w:val="00AE00BD"/>
    <w:rsid w:val="00AE0F77"/>
    <w:rsid w:val="00AE522E"/>
    <w:rsid w:val="00AE59C3"/>
    <w:rsid w:val="00AF2046"/>
    <w:rsid w:val="00AF21FE"/>
    <w:rsid w:val="00AF2866"/>
    <w:rsid w:val="00AF5139"/>
    <w:rsid w:val="00AF568A"/>
    <w:rsid w:val="00AF5CF3"/>
    <w:rsid w:val="00AF6325"/>
    <w:rsid w:val="00AF6723"/>
    <w:rsid w:val="00AF68E9"/>
    <w:rsid w:val="00AF756D"/>
    <w:rsid w:val="00B0089F"/>
    <w:rsid w:val="00B03D0B"/>
    <w:rsid w:val="00B04D13"/>
    <w:rsid w:val="00B06526"/>
    <w:rsid w:val="00B07C15"/>
    <w:rsid w:val="00B07C31"/>
    <w:rsid w:val="00B07E85"/>
    <w:rsid w:val="00B107DD"/>
    <w:rsid w:val="00B11502"/>
    <w:rsid w:val="00B12AE9"/>
    <w:rsid w:val="00B12BA0"/>
    <w:rsid w:val="00B14A86"/>
    <w:rsid w:val="00B1615C"/>
    <w:rsid w:val="00B1786F"/>
    <w:rsid w:val="00B216B6"/>
    <w:rsid w:val="00B21FFF"/>
    <w:rsid w:val="00B22B4A"/>
    <w:rsid w:val="00B2643C"/>
    <w:rsid w:val="00B274A0"/>
    <w:rsid w:val="00B27900"/>
    <w:rsid w:val="00B27CF5"/>
    <w:rsid w:val="00B306F0"/>
    <w:rsid w:val="00B30F7A"/>
    <w:rsid w:val="00B3140F"/>
    <w:rsid w:val="00B316B4"/>
    <w:rsid w:val="00B324ED"/>
    <w:rsid w:val="00B325FA"/>
    <w:rsid w:val="00B33BB7"/>
    <w:rsid w:val="00B33C24"/>
    <w:rsid w:val="00B36797"/>
    <w:rsid w:val="00B36D91"/>
    <w:rsid w:val="00B36FA9"/>
    <w:rsid w:val="00B401F1"/>
    <w:rsid w:val="00B4046B"/>
    <w:rsid w:val="00B432E5"/>
    <w:rsid w:val="00B45B9B"/>
    <w:rsid w:val="00B5090E"/>
    <w:rsid w:val="00B50AB1"/>
    <w:rsid w:val="00B511C1"/>
    <w:rsid w:val="00B51636"/>
    <w:rsid w:val="00B53AA3"/>
    <w:rsid w:val="00B53B82"/>
    <w:rsid w:val="00B550A8"/>
    <w:rsid w:val="00B605B3"/>
    <w:rsid w:val="00B619D0"/>
    <w:rsid w:val="00B632A1"/>
    <w:rsid w:val="00B63835"/>
    <w:rsid w:val="00B655CC"/>
    <w:rsid w:val="00B655D6"/>
    <w:rsid w:val="00B70A24"/>
    <w:rsid w:val="00B72501"/>
    <w:rsid w:val="00B74EDA"/>
    <w:rsid w:val="00B7515B"/>
    <w:rsid w:val="00B817F9"/>
    <w:rsid w:val="00B8200A"/>
    <w:rsid w:val="00B82382"/>
    <w:rsid w:val="00B82B3D"/>
    <w:rsid w:val="00B83D3B"/>
    <w:rsid w:val="00B846A7"/>
    <w:rsid w:val="00B84F32"/>
    <w:rsid w:val="00B92952"/>
    <w:rsid w:val="00B9518B"/>
    <w:rsid w:val="00B97EF2"/>
    <w:rsid w:val="00BA0AEF"/>
    <w:rsid w:val="00BA11FB"/>
    <w:rsid w:val="00BA1606"/>
    <w:rsid w:val="00BA7086"/>
    <w:rsid w:val="00BA7A20"/>
    <w:rsid w:val="00BA7E97"/>
    <w:rsid w:val="00BB0096"/>
    <w:rsid w:val="00BB0189"/>
    <w:rsid w:val="00BB19FC"/>
    <w:rsid w:val="00BB3B5E"/>
    <w:rsid w:val="00BB4D6D"/>
    <w:rsid w:val="00BB5167"/>
    <w:rsid w:val="00BB5554"/>
    <w:rsid w:val="00BB7574"/>
    <w:rsid w:val="00BB786E"/>
    <w:rsid w:val="00BC0313"/>
    <w:rsid w:val="00BC293A"/>
    <w:rsid w:val="00BC4A74"/>
    <w:rsid w:val="00BC4C3B"/>
    <w:rsid w:val="00BC7338"/>
    <w:rsid w:val="00BD0C45"/>
    <w:rsid w:val="00BD2931"/>
    <w:rsid w:val="00BD35A5"/>
    <w:rsid w:val="00BD4FDC"/>
    <w:rsid w:val="00BD5177"/>
    <w:rsid w:val="00BD62BA"/>
    <w:rsid w:val="00BD723D"/>
    <w:rsid w:val="00BD7D08"/>
    <w:rsid w:val="00BD7F8D"/>
    <w:rsid w:val="00BE0D8E"/>
    <w:rsid w:val="00BE0F03"/>
    <w:rsid w:val="00BE0F5A"/>
    <w:rsid w:val="00BE2253"/>
    <w:rsid w:val="00BE2AB5"/>
    <w:rsid w:val="00BE5393"/>
    <w:rsid w:val="00BE66AF"/>
    <w:rsid w:val="00BE7AFB"/>
    <w:rsid w:val="00BF0B94"/>
    <w:rsid w:val="00BF35A6"/>
    <w:rsid w:val="00BF6AC6"/>
    <w:rsid w:val="00C000B9"/>
    <w:rsid w:val="00C00575"/>
    <w:rsid w:val="00C00F6C"/>
    <w:rsid w:val="00C011E1"/>
    <w:rsid w:val="00C02B38"/>
    <w:rsid w:val="00C02EFC"/>
    <w:rsid w:val="00C02F8B"/>
    <w:rsid w:val="00C03DC3"/>
    <w:rsid w:val="00C048AB"/>
    <w:rsid w:val="00C06E97"/>
    <w:rsid w:val="00C103A6"/>
    <w:rsid w:val="00C10548"/>
    <w:rsid w:val="00C10857"/>
    <w:rsid w:val="00C12F74"/>
    <w:rsid w:val="00C1325D"/>
    <w:rsid w:val="00C14540"/>
    <w:rsid w:val="00C14A03"/>
    <w:rsid w:val="00C14A9A"/>
    <w:rsid w:val="00C14D0A"/>
    <w:rsid w:val="00C16038"/>
    <w:rsid w:val="00C2033B"/>
    <w:rsid w:val="00C20D1C"/>
    <w:rsid w:val="00C213B3"/>
    <w:rsid w:val="00C2155C"/>
    <w:rsid w:val="00C22474"/>
    <w:rsid w:val="00C22E41"/>
    <w:rsid w:val="00C22FE3"/>
    <w:rsid w:val="00C231FA"/>
    <w:rsid w:val="00C23FF1"/>
    <w:rsid w:val="00C25270"/>
    <w:rsid w:val="00C27EA6"/>
    <w:rsid w:val="00C30759"/>
    <w:rsid w:val="00C30F77"/>
    <w:rsid w:val="00C312FD"/>
    <w:rsid w:val="00C314C9"/>
    <w:rsid w:val="00C321DB"/>
    <w:rsid w:val="00C3311B"/>
    <w:rsid w:val="00C339ED"/>
    <w:rsid w:val="00C34338"/>
    <w:rsid w:val="00C35E0C"/>
    <w:rsid w:val="00C3655F"/>
    <w:rsid w:val="00C37308"/>
    <w:rsid w:val="00C40AE0"/>
    <w:rsid w:val="00C42096"/>
    <w:rsid w:val="00C42D92"/>
    <w:rsid w:val="00C4319C"/>
    <w:rsid w:val="00C461AB"/>
    <w:rsid w:val="00C515F7"/>
    <w:rsid w:val="00C525A5"/>
    <w:rsid w:val="00C52F6B"/>
    <w:rsid w:val="00C53E3C"/>
    <w:rsid w:val="00C55A7C"/>
    <w:rsid w:val="00C57F41"/>
    <w:rsid w:val="00C6251D"/>
    <w:rsid w:val="00C627A0"/>
    <w:rsid w:val="00C64149"/>
    <w:rsid w:val="00C6671E"/>
    <w:rsid w:val="00C676A5"/>
    <w:rsid w:val="00C72160"/>
    <w:rsid w:val="00C72631"/>
    <w:rsid w:val="00C75073"/>
    <w:rsid w:val="00C77A9D"/>
    <w:rsid w:val="00C809DF"/>
    <w:rsid w:val="00C82536"/>
    <w:rsid w:val="00C83257"/>
    <w:rsid w:val="00C8372F"/>
    <w:rsid w:val="00C9046E"/>
    <w:rsid w:val="00C91F40"/>
    <w:rsid w:val="00C9237F"/>
    <w:rsid w:val="00C92622"/>
    <w:rsid w:val="00C96AA0"/>
    <w:rsid w:val="00C973F9"/>
    <w:rsid w:val="00CA0B7C"/>
    <w:rsid w:val="00CA49D3"/>
    <w:rsid w:val="00CA6809"/>
    <w:rsid w:val="00CB0169"/>
    <w:rsid w:val="00CB0828"/>
    <w:rsid w:val="00CB17BC"/>
    <w:rsid w:val="00CB2D1A"/>
    <w:rsid w:val="00CB5441"/>
    <w:rsid w:val="00CB55BF"/>
    <w:rsid w:val="00CB5664"/>
    <w:rsid w:val="00CB57AE"/>
    <w:rsid w:val="00CB6353"/>
    <w:rsid w:val="00CB6BF9"/>
    <w:rsid w:val="00CB7575"/>
    <w:rsid w:val="00CB7E7B"/>
    <w:rsid w:val="00CC1DF0"/>
    <w:rsid w:val="00CC2B1C"/>
    <w:rsid w:val="00CC386F"/>
    <w:rsid w:val="00CC502B"/>
    <w:rsid w:val="00CC7D4F"/>
    <w:rsid w:val="00CD0296"/>
    <w:rsid w:val="00CD05BF"/>
    <w:rsid w:val="00CD0855"/>
    <w:rsid w:val="00CD0C21"/>
    <w:rsid w:val="00CD1191"/>
    <w:rsid w:val="00CD34F1"/>
    <w:rsid w:val="00CD4E3D"/>
    <w:rsid w:val="00CD597A"/>
    <w:rsid w:val="00CD59C9"/>
    <w:rsid w:val="00CD6536"/>
    <w:rsid w:val="00CE28DC"/>
    <w:rsid w:val="00CE387A"/>
    <w:rsid w:val="00CE4DD1"/>
    <w:rsid w:val="00CE7F55"/>
    <w:rsid w:val="00CF0528"/>
    <w:rsid w:val="00CF14C4"/>
    <w:rsid w:val="00CF1EF4"/>
    <w:rsid w:val="00CF2176"/>
    <w:rsid w:val="00CF2A4C"/>
    <w:rsid w:val="00CF2FC1"/>
    <w:rsid w:val="00CF3A7F"/>
    <w:rsid w:val="00CF3F4C"/>
    <w:rsid w:val="00CF3F50"/>
    <w:rsid w:val="00CF691D"/>
    <w:rsid w:val="00D010F8"/>
    <w:rsid w:val="00D028CE"/>
    <w:rsid w:val="00D07239"/>
    <w:rsid w:val="00D07D47"/>
    <w:rsid w:val="00D07EF6"/>
    <w:rsid w:val="00D1093D"/>
    <w:rsid w:val="00D1143F"/>
    <w:rsid w:val="00D11804"/>
    <w:rsid w:val="00D12933"/>
    <w:rsid w:val="00D13861"/>
    <w:rsid w:val="00D1434B"/>
    <w:rsid w:val="00D1592A"/>
    <w:rsid w:val="00D15E0D"/>
    <w:rsid w:val="00D1645F"/>
    <w:rsid w:val="00D17709"/>
    <w:rsid w:val="00D20F60"/>
    <w:rsid w:val="00D213DE"/>
    <w:rsid w:val="00D22CF7"/>
    <w:rsid w:val="00D2456C"/>
    <w:rsid w:val="00D2522B"/>
    <w:rsid w:val="00D26B81"/>
    <w:rsid w:val="00D2748F"/>
    <w:rsid w:val="00D32D76"/>
    <w:rsid w:val="00D32FE6"/>
    <w:rsid w:val="00D337C1"/>
    <w:rsid w:val="00D4086C"/>
    <w:rsid w:val="00D41808"/>
    <w:rsid w:val="00D42D2C"/>
    <w:rsid w:val="00D437A9"/>
    <w:rsid w:val="00D43F42"/>
    <w:rsid w:val="00D47579"/>
    <w:rsid w:val="00D47A88"/>
    <w:rsid w:val="00D5215E"/>
    <w:rsid w:val="00D52966"/>
    <w:rsid w:val="00D55299"/>
    <w:rsid w:val="00D553CB"/>
    <w:rsid w:val="00D60659"/>
    <w:rsid w:val="00D62A84"/>
    <w:rsid w:val="00D6464B"/>
    <w:rsid w:val="00D646FF"/>
    <w:rsid w:val="00D664BE"/>
    <w:rsid w:val="00D6688A"/>
    <w:rsid w:val="00D676D6"/>
    <w:rsid w:val="00D679B6"/>
    <w:rsid w:val="00D703A8"/>
    <w:rsid w:val="00D707E6"/>
    <w:rsid w:val="00D715DD"/>
    <w:rsid w:val="00D71A40"/>
    <w:rsid w:val="00D723D4"/>
    <w:rsid w:val="00D7273D"/>
    <w:rsid w:val="00D72795"/>
    <w:rsid w:val="00D72A09"/>
    <w:rsid w:val="00D7419C"/>
    <w:rsid w:val="00D755C7"/>
    <w:rsid w:val="00D769A0"/>
    <w:rsid w:val="00D76A81"/>
    <w:rsid w:val="00D80352"/>
    <w:rsid w:val="00D80AA3"/>
    <w:rsid w:val="00D8120A"/>
    <w:rsid w:val="00D81B9F"/>
    <w:rsid w:val="00D82062"/>
    <w:rsid w:val="00D82437"/>
    <w:rsid w:val="00D82DE7"/>
    <w:rsid w:val="00D83C38"/>
    <w:rsid w:val="00D85A52"/>
    <w:rsid w:val="00D901E6"/>
    <w:rsid w:val="00D91ED4"/>
    <w:rsid w:val="00D9390A"/>
    <w:rsid w:val="00D9625D"/>
    <w:rsid w:val="00D96F8A"/>
    <w:rsid w:val="00D9706B"/>
    <w:rsid w:val="00DA0C1D"/>
    <w:rsid w:val="00DA41B9"/>
    <w:rsid w:val="00DB1795"/>
    <w:rsid w:val="00DB1E97"/>
    <w:rsid w:val="00DB2206"/>
    <w:rsid w:val="00DB2285"/>
    <w:rsid w:val="00DB3BDF"/>
    <w:rsid w:val="00DB4024"/>
    <w:rsid w:val="00DB6F94"/>
    <w:rsid w:val="00DB722F"/>
    <w:rsid w:val="00DB7D78"/>
    <w:rsid w:val="00DB7FC8"/>
    <w:rsid w:val="00DC4CA7"/>
    <w:rsid w:val="00DC704F"/>
    <w:rsid w:val="00DC7398"/>
    <w:rsid w:val="00DC78B7"/>
    <w:rsid w:val="00DD051F"/>
    <w:rsid w:val="00DD0F60"/>
    <w:rsid w:val="00DD25A5"/>
    <w:rsid w:val="00DD3083"/>
    <w:rsid w:val="00DD650E"/>
    <w:rsid w:val="00DD66EB"/>
    <w:rsid w:val="00DD746C"/>
    <w:rsid w:val="00DE0B89"/>
    <w:rsid w:val="00DE0F00"/>
    <w:rsid w:val="00DE2012"/>
    <w:rsid w:val="00DE2022"/>
    <w:rsid w:val="00DE2D3B"/>
    <w:rsid w:val="00DE3DDC"/>
    <w:rsid w:val="00DE45E1"/>
    <w:rsid w:val="00DF04E9"/>
    <w:rsid w:val="00DF13AE"/>
    <w:rsid w:val="00DF1C19"/>
    <w:rsid w:val="00DF2451"/>
    <w:rsid w:val="00DF4E08"/>
    <w:rsid w:val="00DF70B3"/>
    <w:rsid w:val="00DF7482"/>
    <w:rsid w:val="00DF766E"/>
    <w:rsid w:val="00E00A47"/>
    <w:rsid w:val="00E01C8C"/>
    <w:rsid w:val="00E03C22"/>
    <w:rsid w:val="00E04D8B"/>
    <w:rsid w:val="00E0540C"/>
    <w:rsid w:val="00E056F4"/>
    <w:rsid w:val="00E10DFF"/>
    <w:rsid w:val="00E111BE"/>
    <w:rsid w:val="00E11FA5"/>
    <w:rsid w:val="00E12D6D"/>
    <w:rsid w:val="00E14A42"/>
    <w:rsid w:val="00E16117"/>
    <w:rsid w:val="00E1670E"/>
    <w:rsid w:val="00E20280"/>
    <w:rsid w:val="00E2229A"/>
    <w:rsid w:val="00E2387E"/>
    <w:rsid w:val="00E24F94"/>
    <w:rsid w:val="00E26AE5"/>
    <w:rsid w:val="00E26BA0"/>
    <w:rsid w:val="00E27302"/>
    <w:rsid w:val="00E3001E"/>
    <w:rsid w:val="00E325DA"/>
    <w:rsid w:val="00E32BB9"/>
    <w:rsid w:val="00E338D6"/>
    <w:rsid w:val="00E33E8D"/>
    <w:rsid w:val="00E3444A"/>
    <w:rsid w:val="00E34AF6"/>
    <w:rsid w:val="00E3575B"/>
    <w:rsid w:val="00E36EA9"/>
    <w:rsid w:val="00E372A1"/>
    <w:rsid w:val="00E37669"/>
    <w:rsid w:val="00E37CF6"/>
    <w:rsid w:val="00E4118F"/>
    <w:rsid w:val="00E41BEA"/>
    <w:rsid w:val="00E42110"/>
    <w:rsid w:val="00E4243B"/>
    <w:rsid w:val="00E42623"/>
    <w:rsid w:val="00E433A7"/>
    <w:rsid w:val="00E455A3"/>
    <w:rsid w:val="00E4585F"/>
    <w:rsid w:val="00E46290"/>
    <w:rsid w:val="00E46D0A"/>
    <w:rsid w:val="00E4734F"/>
    <w:rsid w:val="00E47902"/>
    <w:rsid w:val="00E47DC0"/>
    <w:rsid w:val="00E47E06"/>
    <w:rsid w:val="00E52A73"/>
    <w:rsid w:val="00E5558F"/>
    <w:rsid w:val="00E60190"/>
    <w:rsid w:val="00E62027"/>
    <w:rsid w:val="00E6354A"/>
    <w:rsid w:val="00E63712"/>
    <w:rsid w:val="00E64C7C"/>
    <w:rsid w:val="00E6519D"/>
    <w:rsid w:val="00E65BE7"/>
    <w:rsid w:val="00E65E2F"/>
    <w:rsid w:val="00E7284F"/>
    <w:rsid w:val="00E74837"/>
    <w:rsid w:val="00E75B9E"/>
    <w:rsid w:val="00E76500"/>
    <w:rsid w:val="00E83ABF"/>
    <w:rsid w:val="00E83D77"/>
    <w:rsid w:val="00E83E01"/>
    <w:rsid w:val="00E852B4"/>
    <w:rsid w:val="00E85F49"/>
    <w:rsid w:val="00E86412"/>
    <w:rsid w:val="00E86BAF"/>
    <w:rsid w:val="00E87E2B"/>
    <w:rsid w:val="00E90141"/>
    <w:rsid w:val="00E907DA"/>
    <w:rsid w:val="00E922FD"/>
    <w:rsid w:val="00E92B3E"/>
    <w:rsid w:val="00E947B8"/>
    <w:rsid w:val="00E94F09"/>
    <w:rsid w:val="00E968C1"/>
    <w:rsid w:val="00E96A6E"/>
    <w:rsid w:val="00EA0A37"/>
    <w:rsid w:val="00EA1054"/>
    <w:rsid w:val="00EA1409"/>
    <w:rsid w:val="00EA1A51"/>
    <w:rsid w:val="00EA204F"/>
    <w:rsid w:val="00EA23EA"/>
    <w:rsid w:val="00EA25D6"/>
    <w:rsid w:val="00EA4365"/>
    <w:rsid w:val="00EA4F1D"/>
    <w:rsid w:val="00EA7D34"/>
    <w:rsid w:val="00EB1E61"/>
    <w:rsid w:val="00EB230A"/>
    <w:rsid w:val="00EB2810"/>
    <w:rsid w:val="00EB2BD9"/>
    <w:rsid w:val="00EB31D3"/>
    <w:rsid w:val="00EB3AC4"/>
    <w:rsid w:val="00EB3F22"/>
    <w:rsid w:val="00EC0630"/>
    <w:rsid w:val="00EC07DD"/>
    <w:rsid w:val="00EC1435"/>
    <w:rsid w:val="00EC16B7"/>
    <w:rsid w:val="00EC16CE"/>
    <w:rsid w:val="00EC1FD1"/>
    <w:rsid w:val="00EC3004"/>
    <w:rsid w:val="00EC49CD"/>
    <w:rsid w:val="00EC66CE"/>
    <w:rsid w:val="00EC6E10"/>
    <w:rsid w:val="00ED2ADA"/>
    <w:rsid w:val="00ED3E5C"/>
    <w:rsid w:val="00ED408F"/>
    <w:rsid w:val="00ED45B2"/>
    <w:rsid w:val="00ED5D31"/>
    <w:rsid w:val="00ED7000"/>
    <w:rsid w:val="00ED7466"/>
    <w:rsid w:val="00ED7D0F"/>
    <w:rsid w:val="00ED7EC9"/>
    <w:rsid w:val="00EE0A8C"/>
    <w:rsid w:val="00EE2418"/>
    <w:rsid w:val="00EF35CC"/>
    <w:rsid w:val="00EF3791"/>
    <w:rsid w:val="00EF55B2"/>
    <w:rsid w:val="00EF5E3B"/>
    <w:rsid w:val="00EF679C"/>
    <w:rsid w:val="00EF6D9C"/>
    <w:rsid w:val="00EF7100"/>
    <w:rsid w:val="00EF7AB0"/>
    <w:rsid w:val="00EF7CF6"/>
    <w:rsid w:val="00F030A9"/>
    <w:rsid w:val="00F035A1"/>
    <w:rsid w:val="00F03815"/>
    <w:rsid w:val="00F047C7"/>
    <w:rsid w:val="00F04918"/>
    <w:rsid w:val="00F06299"/>
    <w:rsid w:val="00F06638"/>
    <w:rsid w:val="00F12D0B"/>
    <w:rsid w:val="00F12E74"/>
    <w:rsid w:val="00F12F0F"/>
    <w:rsid w:val="00F13D74"/>
    <w:rsid w:val="00F14D0B"/>
    <w:rsid w:val="00F16D84"/>
    <w:rsid w:val="00F17503"/>
    <w:rsid w:val="00F201FC"/>
    <w:rsid w:val="00F23450"/>
    <w:rsid w:val="00F246A3"/>
    <w:rsid w:val="00F24EB3"/>
    <w:rsid w:val="00F30505"/>
    <w:rsid w:val="00F306B0"/>
    <w:rsid w:val="00F31B59"/>
    <w:rsid w:val="00F323F8"/>
    <w:rsid w:val="00F32E9C"/>
    <w:rsid w:val="00F342A7"/>
    <w:rsid w:val="00F3462E"/>
    <w:rsid w:val="00F360CD"/>
    <w:rsid w:val="00F37CE3"/>
    <w:rsid w:val="00F4168A"/>
    <w:rsid w:val="00F4171C"/>
    <w:rsid w:val="00F42305"/>
    <w:rsid w:val="00F424B8"/>
    <w:rsid w:val="00F42FD1"/>
    <w:rsid w:val="00F43914"/>
    <w:rsid w:val="00F453C7"/>
    <w:rsid w:val="00F454AB"/>
    <w:rsid w:val="00F460A2"/>
    <w:rsid w:val="00F466DE"/>
    <w:rsid w:val="00F46879"/>
    <w:rsid w:val="00F4714F"/>
    <w:rsid w:val="00F47F7A"/>
    <w:rsid w:val="00F52165"/>
    <w:rsid w:val="00F53559"/>
    <w:rsid w:val="00F53D85"/>
    <w:rsid w:val="00F54322"/>
    <w:rsid w:val="00F5495F"/>
    <w:rsid w:val="00F56D24"/>
    <w:rsid w:val="00F575D2"/>
    <w:rsid w:val="00F603A6"/>
    <w:rsid w:val="00F609B6"/>
    <w:rsid w:val="00F65316"/>
    <w:rsid w:val="00F67F5F"/>
    <w:rsid w:val="00F70491"/>
    <w:rsid w:val="00F70AE7"/>
    <w:rsid w:val="00F716E3"/>
    <w:rsid w:val="00F7362F"/>
    <w:rsid w:val="00F760FA"/>
    <w:rsid w:val="00F76476"/>
    <w:rsid w:val="00F77F91"/>
    <w:rsid w:val="00F811F3"/>
    <w:rsid w:val="00F82683"/>
    <w:rsid w:val="00F83B74"/>
    <w:rsid w:val="00F85112"/>
    <w:rsid w:val="00F859FE"/>
    <w:rsid w:val="00F86035"/>
    <w:rsid w:val="00F86C9E"/>
    <w:rsid w:val="00F93E86"/>
    <w:rsid w:val="00F93F29"/>
    <w:rsid w:val="00F94642"/>
    <w:rsid w:val="00F94F61"/>
    <w:rsid w:val="00F965D3"/>
    <w:rsid w:val="00FA0549"/>
    <w:rsid w:val="00FA0B99"/>
    <w:rsid w:val="00FA1371"/>
    <w:rsid w:val="00FA1B96"/>
    <w:rsid w:val="00FA220D"/>
    <w:rsid w:val="00FA295D"/>
    <w:rsid w:val="00FA2A2D"/>
    <w:rsid w:val="00FA37B0"/>
    <w:rsid w:val="00FA7964"/>
    <w:rsid w:val="00FA7F2D"/>
    <w:rsid w:val="00FB0691"/>
    <w:rsid w:val="00FB1FA0"/>
    <w:rsid w:val="00FB24ED"/>
    <w:rsid w:val="00FB41A8"/>
    <w:rsid w:val="00FB5297"/>
    <w:rsid w:val="00FB52C7"/>
    <w:rsid w:val="00FB5500"/>
    <w:rsid w:val="00FC1559"/>
    <w:rsid w:val="00FC2AE4"/>
    <w:rsid w:val="00FC3995"/>
    <w:rsid w:val="00FC5718"/>
    <w:rsid w:val="00FC5BFA"/>
    <w:rsid w:val="00FC6439"/>
    <w:rsid w:val="00FD0EBF"/>
    <w:rsid w:val="00FD180B"/>
    <w:rsid w:val="00FD271D"/>
    <w:rsid w:val="00FD2858"/>
    <w:rsid w:val="00FD4DC6"/>
    <w:rsid w:val="00FD66CA"/>
    <w:rsid w:val="00FD713F"/>
    <w:rsid w:val="00FD7600"/>
    <w:rsid w:val="00FE0DE7"/>
    <w:rsid w:val="00FE1028"/>
    <w:rsid w:val="00FE24CA"/>
    <w:rsid w:val="00FE3D19"/>
    <w:rsid w:val="00FE4CB4"/>
    <w:rsid w:val="00FE50CC"/>
    <w:rsid w:val="00FE51EF"/>
    <w:rsid w:val="00FE5A1C"/>
    <w:rsid w:val="00FF074E"/>
    <w:rsid w:val="00FF0C5B"/>
    <w:rsid w:val="00FF24DA"/>
    <w:rsid w:val="00FF2D6F"/>
    <w:rsid w:val="00FF3506"/>
    <w:rsid w:val="00FF3A6F"/>
    <w:rsid w:val="00FF3B16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F5"/>
    <w:rPr>
      <w:sz w:val="24"/>
      <w:szCs w:val="24"/>
    </w:rPr>
  </w:style>
  <w:style w:type="paragraph" w:styleId="1">
    <w:name w:val="heading 1"/>
    <w:basedOn w:val="a"/>
    <w:next w:val="a"/>
    <w:qFormat/>
    <w:rsid w:val="00764CF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94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4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64CF5"/>
    <w:pPr>
      <w:spacing w:after="120"/>
    </w:pPr>
  </w:style>
  <w:style w:type="paragraph" w:styleId="a5">
    <w:name w:val="footer"/>
    <w:basedOn w:val="a"/>
    <w:rsid w:val="00764C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4CF5"/>
  </w:style>
  <w:style w:type="paragraph" w:styleId="31">
    <w:name w:val="Body Text 3"/>
    <w:basedOn w:val="a"/>
    <w:link w:val="32"/>
    <w:rsid w:val="005E50F3"/>
    <w:pPr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locked/>
    <w:rsid w:val="00A84D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locked/>
    <w:rsid w:val="00A84D4E"/>
    <w:rPr>
      <w:sz w:val="28"/>
      <w:szCs w:val="24"/>
      <w:lang w:val="ru-RU" w:eastAsia="ru-RU" w:bidi="ar-SA"/>
    </w:rPr>
  </w:style>
  <w:style w:type="paragraph" w:styleId="a7">
    <w:name w:val="Balloon Text"/>
    <w:basedOn w:val="a"/>
    <w:semiHidden/>
    <w:rsid w:val="00A66C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D51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83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20207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02079"/>
    <w:rPr>
      <w:sz w:val="24"/>
      <w:szCs w:val="24"/>
    </w:rPr>
  </w:style>
  <w:style w:type="paragraph" w:styleId="a8">
    <w:name w:val="List Paragraph"/>
    <w:basedOn w:val="a"/>
    <w:uiPriority w:val="34"/>
    <w:qFormat/>
    <w:rsid w:val="00F342A7"/>
    <w:pPr>
      <w:ind w:left="720"/>
      <w:contextualSpacing/>
    </w:pPr>
  </w:style>
  <w:style w:type="paragraph" w:customStyle="1" w:styleId="ConsPlusTitle">
    <w:name w:val="ConsPlusTitle"/>
    <w:uiPriority w:val="99"/>
    <w:rsid w:val="00C809D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3050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6166BD1E1C2D7111734A0A9E8B477ED9944B05FD677DB8D671996FFA7125F54DC86AE30C799E9NDN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A32C-7C54-4C40-9F2E-9804C0DF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9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 деятельности отдела ОМС и ВЭКМП за 2008 год</vt:lpstr>
    </vt:vector>
  </TitlesOfParts>
  <Company/>
  <LinksUpToDate>false</LinksUpToDate>
  <CharactersWithSpaces>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 деятельности отдела ОМС и ВЭКМП за 2008 год</dc:title>
  <dc:subject/>
  <dc:creator>master</dc:creator>
  <cp:keywords/>
  <dc:description/>
  <cp:lastModifiedBy>Пользователь</cp:lastModifiedBy>
  <cp:revision>203</cp:revision>
  <cp:lastPrinted>2023-01-17T09:59:00Z</cp:lastPrinted>
  <dcterms:created xsi:type="dcterms:W3CDTF">2014-02-24T06:17:00Z</dcterms:created>
  <dcterms:modified xsi:type="dcterms:W3CDTF">2023-03-09T11:00:00Z</dcterms:modified>
</cp:coreProperties>
</file>